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560" w:lineRule="exact"/>
        <w:ind w:left="0" w:leftChars="0" w:firstLine="0" w:firstLineChars="0"/>
        <w:jc w:val="center"/>
        <w:rPr>
          <w:rFonts w:ascii="Times New Roman" w:hAnsi="Times New Roman" w:eastAsia="方正大标宋简体"/>
          <w:bCs/>
          <w:sz w:val="36"/>
          <w:szCs w:val="36"/>
        </w:rPr>
      </w:pPr>
      <w:r>
        <w:rPr>
          <w:rFonts w:ascii="Times New Roman" w:hAnsi="Times New Roman" w:eastAsia="方正大标宋简体"/>
          <w:bCs/>
          <w:sz w:val="36"/>
          <w:szCs w:val="36"/>
        </w:rPr>
        <w:t>境外发行上市备案补充材料要求</w:t>
      </w:r>
    </w:p>
    <w:p>
      <w:pPr>
        <w:spacing w:line="560" w:lineRule="exact"/>
        <w:ind w:left="0" w:leftChars="0" w:firstLine="0" w:firstLineChars="0"/>
        <w:jc w:val="center"/>
        <w:rPr>
          <w:rFonts w:ascii="Times New Roman" w:hAnsi="Times New Roman" w:eastAsia="方正大标宋简体"/>
          <w:bCs/>
          <w:sz w:val="32"/>
          <w:szCs w:val="32"/>
        </w:rPr>
      </w:pPr>
      <w:r>
        <w:rPr>
          <w:rFonts w:ascii="Times New Roman" w:hAnsi="Times New Roman" w:eastAsia="方正大标宋简体"/>
          <w:bCs/>
          <w:sz w:val="32"/>
          <w:szCs w:val="32"/>
        </w:rPr>
        <w:t>（</w:t>
      </w:r>
      <w:r>
        <w:rPr>
          <w:rFonts w:hint="eastAsia" w:ascii="Times New Roman" w:hAnsi="Times New Roman" w:eastAsia="方正大标宋简体"/>
          <w:bCs/>
          <w:sz w:val="32"/>
          <w:szCs w:val="32"/>
        </w:rPr>
        <w:t>202</w:t>
      </w:r>
      <w:r>
        <w:rPr>
          <w:rFonts w:hint="eastAsia" w:ascii="Times New Roman" w:hAnsi="Times New Roman" w:eastAsia="方正大标宋简体"/>
          <w:bCs/>
          <w:sz w:val="32"/>
          <w:szCs w:val="32"/>
          <w:lang w:val="en-US" w:eastAsia="zh-CN"/>
        </w:rPr>
        <w:t>5</w:t>
      </w:r>
      <w:r>
        <w:rPr>
          <w:rFonts w:hint="eastAsia" w:ascii="Times New Roman" w:hAnsi="Times New Roman" w:eastAsia="方正大标宋简体"/>
          <w:bCs/>
          <w:sz w:val="32"/>
          <w:szCs w:val="32"/>
        </w:rPr>
        <w:t>年</w:t>
      </w:r>
      <w:r>
        <w:rPr>
          <w:rFonts w:hint="eastAsia" w:ascii="Times New Roman" w:hAnsi="Times New Roman" w:eastAsia="方正大标宋简体"/>
          <w:bCs/>
          <w:sz w:val="32"/>
          <w:szCs w:val="32"/>
          <w:lang w:val="en-US" w:eastAsia="zh-CN"/>
        </w:rPr>
        <w:t>2</w:t>
      </w:r>
      <w:r>
        <w:rPr>
          <w:rFonts w:hint="eastAsia" w:ascii="Times New Roman" w:hAnsi="Times New Roman" w:eastAsia="方正大标宋简体"/>
          <w:bCs/>
          <w:sz w:val="32"/>
          <w:szCs w:val="32"/>
        </w:rPr>
        <w:t>月</w:t>
      </w:r>
      <w:r>
        <w:rPr>
          <w:rFonts w:hint="eastAsia" w:ascii="Times New Roman" w:hAnsi="Times New Roman" w:eastAsia="方正大标宋简体"/>
          <w:bCs/>
          <w:sz w:val="32"/>
          <w:szCs w:val="32"/>
          <w:lang w:val="en-US" w:eastAsia="zh-CN"/>
        </w:rPr>
        <w:t>7</w:t>
      </w:r>
      <w:r>
        <w:rPr>
          <w:rFonts w:hint="eastAsia" w:ascii="Times New Roman" w:hAnsi="Times New Roman" w:eastAsia="方正大标宋简体"/>
          <w:bCs/>
          <w:sz w:val="32"/>
          <w:szCs w:val="32"/>
        </w:rPr>
        <w:t>日—202</w:t>
      </w:r>
      <w:r>
        <w:rPr>
          <w:rFonts w:hint="eastAsia" w:ascii="Times New Roman" w:hAnsi="Times New Roman" w:eastAsia="方正大标宋简体"/>
          <w:bCs/>
          <w:sz w:val="32"/>
          <w:szCs w:val="32"/>
          <w:lang w:val="en-US" w:eastAsia="zh-CN"/>
        </w:rPr>
        <w:t>5</w:t>
      </w:r>
      <w:r>
        <w:rPr>
          <w:rFonts w:hint="eastAsia" w:ascii="Times New Roman" w:hAnsi="Times New Roman" w:eastAsia="方正大标宋简体"/>
          <w:bCs/>
          <w:sz w:val="32"/>
          <w:szCs w:val="32"/>
        </w:rPr>
        <w:t>年</w:t>
      </w:r>
      <w:r>
        <w:rPr>
          <w:rFonts w:hint="eastAsia" w:ascii="Times New Roman" w:hAnsi="Times New Roman" w:eastAsia="方正大标宋简体"/>
          <w:bCs/>
          <w:sz w:val="32"/>
          <w:szCs w:val="32"/>
          <w:lang w:val="en-US" w:eastAsia="zh-CN"/>
        </w:rPr>
        <w:t>2</w:t>
      </w:r>
      <w:r>
        <w:rPr>
          <w:rFonts w:hint="eastAsia" w:ascii="Times New Roman" w:hAnsi="Times New Roman" w:eastAsia="方正大标宋简体"/>
          <w:bCs/>
          <w:sz w:val="32"/>
          <w:szCs w:val="32"/>
        </w:rPr>
        <w:t>月</w:t>
      </w:r>
      <w:r>
        <w:rPr>
          <w:rFonts w:hint="eastAsia" w:ascii="Times New Roman" w:hAnsi="Times New Roman" w:eastAsia="方正大标宋简体"/>
          <w:bCs/>
          <w:sz w:val="32"/>
          <w:szCs w:val="32"/>
          <w:lang w:val="en-US" w:eastAsia="zh-CN"/>
        </w:rPr>
        <w:t>13</w:t>
      </w:r>
      <w:r>
        <w:rPr>
          <w:rFonts w:hint="eastAsia" w:ascii="Times New Roman" w:hAnsi="Times New Roman" w:eastAsia="方正大标宋简体"/>
          <w:bCs/>
          <w:sz w:val="32"/>
          <w:szCs w:val="32"/>
        </w:rPr>
        <w:t>日</w:t>
      </w:r>
      <w:r>
        <w:rPr>
          <w:rFonts w:ascii="Times New Roman" w:hAnsi="Times New Roman" w:eastAsia="方正大标宋简体"/>
          <w:bCs/>
          <w:sz w:val="32"/>
          <w:szCs w:val="32"/>
        </w:rPr>
        <w:t>）</w:t>
      </w:r>
    </w:p>
    <w:p>
      <w:pPr>
        <w:spacing w:line="560" w:lineRule="exact"/>
        <w:ind w:firstLine="560" w:firstLineChars="200"/>
        <w:jc w:val="center"/>
        <w:rPr>
          <w:rFonts w:ascii="Times New Roman" w:hAnsi="Times New Roman" w:eastAsia="sysfST"/>
          <w:b/>
          <w:sz w:val="28"/>
          <w:szCs w:val="28"/>
        </w:rPr>
      </w:pPr>
    </w:p>
    <w:p>
      <w:pPr>
        <w:spacing w:line="560" w:lineRule="exact"/>
        <w:ind w:firstLine="640" w:firstLineChars="200"/>
        <w:rPr>
          <w:rFonts w:hint="eastAsia" w:ascii="Times New Roman" w:hAnsi="Times New Roman" w:eastAsia="仿宋_GB2312"/>
          <w:sz w:val="32"/>
          <w:szCs w:val="32"/>
          <w:lang w:eastAsia="zh-CN"/>
        </w:rPr>
      </w:pPr>
      <w:r>
        <w:rPr>
          <w:rFonts w:ascii="Times New Roman" w:hAnsi="Times New Roman" w:eastAsia="仿宋_GB2312"/>
          <w:sz w:val="32"/>
          <w:szCs w:val="32"/>
        </w:rPr>
        <w:t>本周国</w:t>
      </w:r>
      <w:r>
        <w:rPr>
          <w:rFonts w:ascii="Times New Roman" w:hAnsi="Times New Roman" w:eastAsia="仿宋_GB2312"/>
          <w:sz w:val="32"/>
          <w:szCs w:val="32"/>
          <w:highlight w:val="none"/>
        </w:rPr>
        <w:t>际</w:t>
      </w:r>
      <w:r>
        <w:rPr>
          <w:rFonts w:hint="eastAsia" w:ascii="Times New Roman" w:hAnsi="Times New Roman" w:eastAsia="仿宋_GB2312"/>
          <w:sz w:val="32"/>
          <w:szCs w:val="32"/>
          <w:highlight w:val="none"/>
          <w:lang w:eastAsia="zh-CN"/>
        </w:rPr>
        <w:t>司</w:t>
      </w:r>
      <w:r>
        <w:rPr>
          <w:rFonts w:ascii="Times New Roman" w:hAnsi="Times New Roman" w:eastAsia="仿宋_GB2312"/>
          <w:sz w:val="32"/>
          <w:szCs w:val="32"/>
          <w:highlight w:val="none"/>
        </w:rPr>
        <w:t>共对</w:t>
      </w:r>
      <w:r>
        <w:rPr>
          <w:rFonts w:hint="eastAsia" w:ascii="Times New Roman" w:hAnsi="Times New Roman" w:eastAsia="仿宋_GB2312"/>
          <w:sz w:val="32"/>
          <w:szCs w:val="32"/>
          <w:highlight w:val="none"/>
          <w:lang w:val="en-US" w:eastAsia="zh-CN"/>
        </w:rPr>
        <w:t>3家</w:t>
      </w:r>
      <w:r>
        <w:rPr>
          <w:rFonts w:ascii="Times New Roman" w:hAnsi="Times New Roman" w:eastAsia="仿宋_GB2312"/>
          <w:sz w:val="32"/>
          <w:szCs w:val="32"/>
        </w:rPr>
        <w:t>企业出具补充材料要求</w:t>
      </w:r>
      <w:r>
        <w:rPr>
          <w:rFonts w:hint="eastAsia" w:ascii="Times New Roman" w:hAnsi="Times New Roman" w:eastAsia="仿宋_GB2312"/>
          <w:sz w:val="32"/>
          <w:szCs w:val="32"/>
          <w:lang w:eastAsia="zh-CN"/>
        </w:rPr>
        <w:t>，</w:t>
      </w:r>
      <w:r>
        <w:rPr>
          <w:rFonts w:ascii="Times New Roman" w:hAnsi="Times New Roman" w:eastAsia="仿宋_GB2312"/>
          <w:sz w:val="32"/>
          <w:szCs w:val="32"/>
        </w:rPr>
        <w:t>具体如下</w:t>
      </w:r>
      <w:r>
        <w:rPr>
          <w:rFonts w:hint="eastAsia" w:ascii="Times New Roman" w:hAnsi="Times New Roman" w:eastAsia="仿宋_GB2312"/>
          <w:sz w:val="32"/>
          <w:szCs w:val="32"/>
          <w:lang w:eastAsia="zh-CN"/>
        </w:rPr>
        <w:t>：</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Times New Roman" w:hAnsi="Times New Roman" w:eastAsia="方正黑体_GBK" w:cs="Times New Roman"/>
          <w:sz w:val="32"/>
          <w:szCs w:val="32"/>
          <w:lang w:val="en-US" w:eastAsia="zh-CN"/>
        </w:rPr>
      </w:pPr>
      <w:r>
        <w:rPr>
          <w:rFonts w:hint="eastAsia" w:ascii="Times New Roman" w:hAnsi="Times New Roman" w:eastAsia="方正黑体_GBK" w:cs="Times New Roman"/>
          <w:sz w:val="32"/>
          <w:szCs w:val="32"/>
          <w:lang w:val="en-US" w:eastAsia="zh-CN"/>
        </w:rPr>
        <w:t>联和氢能（秘交转公开）</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CESI仿宋-GB2312" w:hAnsi="CESI仿宋-GB2312" w:eastAsia="CESI仿宋-GB2312" w:cs="CESI仿宋-GB2312"/>
          <w:sz w:val="32"/>
          <w:szCs w:val="32"/>
          <w:lang w:val="en-US" w:eastAsia="zh-CN"/>
        </w:rPr>
      </w:pPr>
      <w:r>
        <w:rPr>
          <w:rFonts w:hint="eastAsia" w:ascii="CESI仿宋-GB2312" w:hAnsi="CESI仿宋-GB2312" w:eastAsia="CESI仿宋-GB2312" w:cs="CESI仿宋-GB2312"/>
          <w:sz w:val="32"/>
          <w:szCs w:val="32"/>
          <w:lang w:val="en-US" w:eastAsia="zh-CN"/>
        </w:rPr>
        <w:t>请你公司就以下事项补充说明，请律师核查并出具明确的法律意见：</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CESI仿宋-GB2312" w:hAnsi="CESI仿宋-GB2312" w:eastAsia="CESI仿宋-GB2312" w:cs="CESI仿宋-GB2312"/>
          <w:sz w:val="32"/>
          <w:szCs w:val="32"/>
          <w:lang w:val="en-US" w:eastAsia="zh-CN"/>
        </w:rPr>
      </w:pPr>
      <w:r>
        <w:rPr>
          <w:rFonts w:hint="eastAsia" w:ascii="CESI仿宋-GB2312" w:hAnsi="CESI仿宋-GB2312" w:eastAsia="CESI仿宋-GB2312" w:cs="CESI仿宋-GB2312"/>
          <w:sz w:val="32"/>
          <w:szCs w:val="32"/>
          <w:lang w:val="en-US" w:eastAsia="zh-CN"/>
        </w:rPr>
        <w:t>一、请你公司说明股权架构设立的合规性。（</w:t>
      </w:r>
      <w:r>
        <w:rPr>
          <w:rFonts w:hint="eastAsia" w:ascii="Times New Roman" w:hAnsi="Times New Roman" w:eastAsia="仿宋_GB2312"/>
          <w:sz w:val="32"/>
          <w:szCs w:val="32"/>
          <w:highlight w:val="none"/>
          <w:lang w:val="en-US" w:eastAsia="zh-CN"/>
        </w:rPr>
        <w:t>1</w:t>
      </w:r>
      <w:r>
        <w:rPr>
          <w:rFonts w:hint="eastAsia" w:ascii="CESI仿宋-GB2312" w:hAnsi="CESI仿宋-GB2312" w:eastAsia="CESI仿宋-GB2312" w:cs="CESI仿宋-GB2312"/>
          <w:sz w:val="32"/>
          <w:szCs w:val="32"/>
          <w:lang w:val="en-US" w:eastAsia="zh-CN"/>
        </w:rPr>
        <w:t>）股权架构搭建及返程并</w:t>
      </w:r>
      <w:bookmarkStart w:id="0" w:name="_GoBack"/>
      <w:bookmarkEnd w:id="0"/>
      <w:r>
        <w:rPr>
          <w:rFonts w:hint="eastAsia" w:ascii="CESI仿宋-GB2312" w:hAnsi="CESI仿宋-GB2312" w:eastAsia="CESI仿宋-GB2312" w:cs="CESI仿宋-GB2312"/>
          <w:sz w:val="32"/>
          <w:szCs w:val="32"/>
          <w:lang w:val="en-US" w:eastAsia="zh-CN"/>
        </w:rPr>
        <w:t>购涉及的通过境外持股平台持有你公司股份的境内自然人、境内机构在外汇管理、境外投资等监管程序方面合规性的结论性意见;（</w:t>
      </w:r>
      <w:r>
        <w:rPr>
          <w:rFonts w:hint="eastAsia" w:ascii="Times New Roman" w:hAnsi="Times New Roman" w:eastAsia="仿宋_GB2312"/>
          <w:sz w:val="32"/>
          <w:szCs w:val="32"/>
          <w:highlight w:val="none"/>
          <w:lang w:val="en-US" w:eastAsia="zh-CN"/>
        </w:rPr>
        <w:t>2</w:t>
      </w:r>
      <w:r>
        <w:rPr>
          <w:rFonts w:hint="eastAsia" w:ascii="CESI仿宋-GB2312" w:hAnsi="CESI仿宋-GB2312" w:eastAsia="CESI仿宋-GB2312" w:cs="CESI仿宋-GB2312"/>
          <w:sz w:val="32"/>
          <w:szCs w:val="32"/>
          <w:lang w:val="en-US" w:eastAsia="zh-CN"/>
        </w:rPr>
        <w:t>）境内主要运营实体设立及历次股权变动均合法合规的结论性意见；（</w:t>
      </w:r>
      <w:r>
        <w:rPr>
          <w:rFonts w:hint="eastAsia" w:ascii="Times New Roman" w:hAnsi="Times New Roman" w:eastAsia="仿宋_GB2312"/>
          <w:sz w:val="32"/>
          <w:szCs w:val="32"/>
          <w:highlight w:val="none"/>
          <w:lang w:val="en-US" w:eastAsia="zh-CN"/>
        </w:rPr>
        <w:t>3</w:t>
      </w:r>
      <w:r>
        <w:rPr>
          <w:rFonts w:hint="eastAsia" w:ascii="CESI仿宋-GB2312" w:hAnsi="CESI仿宋-GB2312" w:eastAsia="CESI仿宋-GB2312" w:cs="CESI仿宋-GB2312"/>
          <w:sz w:val="32"/>
          <w:szCs w:val="32"/>
          <w:lang w:val="en-US" w:eastAsia="zh-CN"/>
        </w:rPr>
        <w:t>）浙江联和氢能收购上海翼迅创能新能源科技有限公司、氢源嘉创（浙江）新能源科技有限公司、嘉兴华东联和氢能科技有限公司对应的股权转让价格定价依据及公允性、对价支付情况、税费依法缴纳情况，是否符合《关于外国投资者并购境内企业的规定》；（</w:t>
      </w:r>
      <w:r>
        <w:rPr>
          <w:rFonts w:hint="eastAsia" w:ascii="Times New Roman" w:hAnsi="Times New Roman" w:eastAsia="仿宋_GB2312"/>
          <w:sz w:val="32"/>
          <w:szCs w:val="32"/>
          <w:highlight w:val="none"/>
          <w:lang w:val="en-US" w:eastAsia="zh-CN"/>
        </w:rPr>
        <w:t>4</w:t>
      </w:r>
      <w:r>
        <w:rPr>
          <w:rFonts w:hint="eastAsia" w:ascii="CESI仿宋-GB2312" w:hAnsi="CESI仿宋-GB2312" w:eastAsia="CESI仿宋-GB2312" w:cs="CESI仿宋-GB2312"/>
          <w:sz w:val="32"/>
          <w:szCs w:val="32"/>
          <w:lang w:val="en-US" w:eastAsia="zh-CN"/>
        </w:rPr>
        <w:t>）对照《监管规则适用指引——第</w:t>
      </w:r>
      <w:r>
        <w:rPr>
          <w:rFonts w:hint="eastAsia" w:ascii="Times New Roman" w:hAnsi="Times New Roman" w:eastAsia="仿宋_GB2312"/>
          <w:sz w:val="32"/>
          <w:szCs w:val="32"/>
          <w:highlight w:val="none"/>
          <w:lang w:val="en-US" w:eastAsia="zh-CN"/>
        </w:rPr>
        <w:t>2</w:t>
      </w:r>
      <w:r>
        <w:rPr>
          <w:rFonts w:hint="eastAsia" w:ascii="CESI仿宋-GB2312" w:hAnsi="CESI仿宋-GB2312" w:eastAsia="CESI仿宋-GB2312" w:cs="CESI仿宋-GB2312"/>
          <w:sz w:val="32"/>
          <w:szCs w:val="32"/>
          <w:lang w:val="en-US" w:eastAsia="zh-CN"/>
        </w:rPr>
        <w:t>号》说明持股</w:t>
      </w:r>
      <w:r>
        <w:rPr>
          <w:rFonts w:hint="eastAsia" w:ascii="Times New Roman" w:hAnsi="Times New Roman" w:eastAsia="仿宋_GB2312"/>
          <w:sz w:val="32"/>
          <w:szCs w:val="32"/>
          <w:highlight w:val="none"/>
          <w:lang w:val="en-US" w:eastAsia="zh-CN"/>
        </w:rPr>
        <w:t>5%</w:t>
      </w:r>
      <w:r>
        <w:rPr>
          <w:rFonts w:hint="eastAsia" w:ascii="CESI仿宋-GB2312" w:hAnsi="CESI仿宋-GB2312" w:eastAsia="CESI仿宋-GB2312" w:cs="CESI仿宋-GB2312"/>
          <w:sz w:val="32"/>
          <w:szCs w:val="32"/>
          <w:lang w:val="en-US" w:eastAsia="zh-CN"/>
        </w:rPr>
        <w:t>以上股东穿透后的相关信息。</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方正仿宋_GBK" w:hAnsi="方正仿宋_GBK" w:eastAsia="方正仿宋_GBK" w:cs="方正仿宋_GBK"/>
          <w:sz w:val="32"/>
          <w:szCs w:val="32"/>
          <w:lang w:val="en-US" w:eastAsia="zh-CN"/>
        </w:rPr>
      </w:pPr>
      <w:r>
        <w:rPr>
          <w:rFonts w:hint="eastAsia" w:ascii="CESI仿宋-GB2312" w:hAnsi="CESI仿宋-GB2312" w:eastAsia="CESI仿宋-GB2312" w:cs="CESI仿宋-GB2312"/>
          <w:sz w:val="32"/>
          <w:szCs w:val="32"/>
          <w:lang w:val="en-US" w:eastAsia="zh-CN"/>
        </w:rPr>
        <w:t>二、请你公司说明公司合规运营情况。（</w:t>
      </w:r>
      <w:r>
        <w:rPr>
          <w:rFonts w:hint="eastAsia" w:ascii="Times New Roman" w:hAnsi="Times New Roman" w:eastAsia="仿宋_GB2312"/>
          <w:sz w:val="32"/>
          <w:szCs w:val="32"/>
          <w:highlight w:val="none"/>
          <w:lang w:val="en-US" w:eastAsia="zh-CN"/>
        </w:rPr>
        <w:t>1</w:t>
      </w:r>
      <w:r>
        <w:rPr>
          <w:rFonts w:hint="eastAsia" w:ascii="CESI仿宋-GB2312" w:hAnsi="CESI仿宋-GB2312" w:eastAsia="CESI仿宋-GB2312" w:cs="CESI仿宋-GB2312"/>
          <w:sz w:val="32"/>
          <w:szCs w:val="32"/>
          <w:lang w:val="en-US" w:eastAsia="zh-CN"/>
        </w:rPr>
        <w:t>）业务开展过程是否涉及氢燃料电池叉车生产，是否已取得必要资质许可；（</w:t>
      </w:r>
      <w:r>
        <w:rPr>
          <w:rFonts w:hint="eastAsia" w:ascii="Times New Roman" w:hAnsi="Times New Roman" w:eastAsia="仿宋_GB2312"/>
          <w:sz w:val="32"/>
          <w:szCs w:val="32"/>
          <w:highlight w:val="none"/>
          <w:lang w:val="en-US" w:eastAsia="zh-CN"/>
        </w:rPr>
        <w:t>2</w:t>
      </w:r>
      <w:r>
        <w:rPr>
          <w:rFonts w:hint="eastAsia" w:ascii="CESI仿宋-GB2312" w:hAnsi="CESI仿宋-GB2312" w:eastAsia="CESI仿宋-GB2312" w:cs="CESI仿宋-GB2312"/>
          <w:sz w:val="32"/>
          <w:szCs w:val="32"/>
          <w:lang w:val="en-US" w:eastAsia="zh-CN"/>
        </w:rPr>
        <w:t>）翼迅创能（嘉兴）新能源科技有限公司经营范围包括“互联网数据服务”，前述公司是否实际开展相关业务并取得必要资质，相关业务是否属于外商投资禁止或限制领域；（</w:t>
      </w:r>
      <w:r>
        <w:rPr>
          <w:rFonts w:hint="eastAsia" w:ascii="Times New Roman" w:hAnsi="Times New Roman" w:eastAsia="仿宋_GB2312"/>
          <w:sz w:val="32"/>
          <w:szCs w:val="32"/>
          <w:highlight w:val="none"/>
          <w:lang w:val="en-US" w:eastAsia="zh-CN"/>
        </w:rPr>
        <w:t>3</w:t>
      </w:r>
      <w:r>
        <w:rPr>
          <w:rFonts w:hint="eastAsia" w:ascii="CESI仿宋-GB2312" w:hAnsi="CESI仿宋-GB2312" w:eastAsia="CESI仿宋-GB2312" w:cs="CESI仿宋-GB2312"/>
          <w:sz w:val="32"/>
          <w:szCs w:val="32"/>
          <w:lang w:val="en-US" w:eastAsia="zh-CN"/>
        </w:rPr>
        <w:t>）业务开展过程中收集及储存的数据信息类型、规模、来源、使用情况，是否涉及向第三方、向境外提供个人用户信息，上市前后个人信息保护和数据安全的安排或措施。</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Times New Roman" w:hAnsi="Times New Roman" w:eastAsia="方正黑体_GBK" w:cs="Times New Roman"/>
          <w:sz w:val="32"/>
          <w:szCs w:val="32"/>
          <w:lang w:val="en-US" w:eastAsia="zh-CN"/>
        </w:rPr>
      </w:pPr>
      <w:r>
        <w:rPr>
          <w:rFonts w:hint="eastAsia" w:ascii="Times New Roman" w:hAnsi="Times New Roman" w:eastAsia="方正黑体_GBK" w:cs="Times New Roman"/>
          <w:sz w:val="32"/>
          <w:szCs w:val="32"/>
          <w:lang w:val="en-US" w:eastAsia="zh-CN"/>
        </w:rPr>
        <w:t>大众口腔股份</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CESI仿宋-GB2312" w:hAnsi="CESI仿宋-GB2312" w:eastAsia="CESI仿宋-GB2312" w:cs="CESI仿宋-GB2312"/>
          <w:sz w:val="32"/>
          <w:szCs w:val="32"/>
        </w:rPr>
      </w:pPr>
      <w:r>
        <w:rPr>
          <w:rFonts w:hint="eastAsia" w:ascii="CESI仿宋-GB2312" w:hAnsi="CESI仿宋-GB2312" w:eastAsia="CESI仿宋-GB2312" w:cs="CESI仿宋-GB2312"/>
          <w:sz w:val="32"/>
          <w:szCs w:val="32"/>
        </w:rPr>
        <w:t>请你公司就以下事项补充说明，请律师核查并出具明确的法律意见:</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CESI仿宋-GB2312" w:hAnsi="CESI仿宋-GB2312" w:eastAsia="CESI仿宋-GB2312" w:cs="CESI仿宋-GB2312"/>
          <w:sz w:val="32"/>
          <w:szCs w:val="32"/>
        </w:rPr>
      </w:pPr>
      <w:r>
        <w:rPr>
          <w:rFonts w:hint="eastAsia" w:ascii="CESI仿宋-GB2312" w:hAnsi="CESI仿宋-GB2312" w:eastAsia="CESI仿宋-GB2312" w:cs="CESI仿宋-GB2312"/>
          <w:sz w:val="32"/>
          <w:szCs w:val="32"/>
        </w:rPr>
        <w:t>一、请说明你公司历次增资、减资及股权转让价格及定价依据，是否实缴出资，是否存在未履行出资义务、抽逃出资、出资方式存在瑕疵的情形。</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CESI仿宋-GB2312" w:hAnsi="CESI仿宋-GB2312" w:eastAsia="CESI仿宋-GB2312" w:cs="CESI仿宋-GB2312"/>
          <w:sz w:val="32"/>
          <w:szCs w:val="32"/>
        </w:rPr>
      </w:pPr>
      <w:r>
        <w:rPr>
          <w:rFonts w:hint="eastAsia" w:ascii="CESI仿宋-GB2312" w:hAnsi="CESI仿宋-GB2312" w:eastAsia="CESI仿宋-GB2312" w:cs="CESI仿宋-GB2312"/>
          <w:sz w:val="32"/>
          <w:szCs w:val="32"/>
        </w:rPr>
        <w:t>二、请说明你公司及下属公司开发及运营</w:t>
      </w:r>
      <w:r>
        <w:rPr>
          <w:rFonts w:hint="eastAsia" w:ascii="Times New Roman" w:hAnsi="Times New Roman" w:eastAsia="仿宋_GB2312"/>
          <w:sz w:val="32"/>
          <w:szCs w:val="32"/>
          <w:highlight w:val="none"/>
          <w:lang w:val="en-US" w:eastAsia="zh-CN"/>
        </w:rPr>
        <w:t>APP</w:t>
      </w:r>
      <w:r>
        <w:rPr>
          <w:rFonts w:hint="eastAsia" w:ascii="CESI仿宋-GB2312" w:hAnsi="CESI仿宋-GB2312" w:eastAsia="CESI仿宋-GB2312" w:cs="CESI仿宋-GB2312"/>
          <w:sz w:val="32"/>
          <w:szCs w:val="32"/>
        </w:rPr>
        <w:t>、小程序、公众号等产品情况，是否涉及收集和使用个人信息，如有，请说明收集及储存的用户信息规模、数据收集使用情况。</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CESI仿宋-GB2312" w:hAnsi="CESI仿宋-GB2312" w:eastAsia="CESI仿宋-GB2312" w:cs="CESI仿宋-GB2312"/>
          <w:sz w:val="32"/>
          <w:szCs w:val="32"/>
          <w:lang w:eastAsia="zh-CN"/>
        </w:rPr>
      </w:pPr>
      <w:r>
        <w:rPr>
          <w:rFonts w:hint="eastAsia" w:ascii="CESI仿宋-GB2312" w:hAnsi="CESI仿宋-GB2312" w:eastAsia="CESI仿宋-GB2312" w:cs="CESI仿宋-GB2312"/>
          <w:sz w:val="32"/>
          <w:szCs w:val="32"/>
        </w:rPr>
        <w:t>三、请说明前期在全国股转系统挂牌的详细情况及终止挂牌原因，是否计划继续推进</w:t>
      </w:r>
      <w:r>
        <w:rPr>
          <w:rFonts w:hint="eastAsia" w:ascii="Times New Roman" w:hAnsi="Times New Roman" w:eastAsia="仿宋_GB2312"/>
          <w:sz w:val="32"/>
          <w:szCs w:val="32"/>
          <w:highlight w:val="none"/>
          <w:lang w:val="en-US" w:eastAsia="zh-CN"/>
        </w:rPr>
        <w:t>A</w:t>
      </w:r>
      <w:r>
        <w:rPr>
          <w:rFonts w:hint="eastAsia" w:ascii="CESI仿宋-GB2312" w:hAnsi="CESI仿宋-GB2312" w:eastAsia="CESI仿宋-GB2312" w:cs="CESI仿宋-GB2312"/>
          <w:sz w:val="32"/>
          <w:szCs w:val="32"/>
        </w:rPr>
        <w:t>股上市及具体安排，是否存在对本次发行上市产生重大影响的情形</w:t>
      </w:r>
      <w:r>
        <w:rPr>
          <w:rFonts w:hint="eastAsia" w:ascii="CESI仿宋-GB2312" w:hAnsi="CESI仿宋-GB2312" w:eastAsia="CESI仿宋-GB2312" w:cs="CESI仿宋-GB2312"/>
          <w:sz w:val="32"/>
          <w:szCs w:val="32"/>
          <w:lang w:eastAsia="zh-CN"/>
        </w:rPr>
        <w:t>。</w:t>
      </w:r>
    </w:p>
    <w:p>
      <w:pPr>
        <w:keepNext w:val="0"/>
        <w:keepLines w:val="0"/>
        <w:pageBreakBefore w:val="0"/>
        <w:widowControl w:val="0"/>
        <w:kinsoku/>
        <w:wordWrap/>
        <w:overflowPunct/>
        <w:topLinePunct w:val="0"/>
        <w:autoSpaceDE/>
        <w:autoSpaceDN/>
        <w:bidi w:val="0"/>
        <w:adjustRightInd/>
        <w:snapToGrid/>
        <w:ind w:firstLine="640" w:firstLineChars="200"/>
        <w:textAlignment w:val="auto"/>
        <w:rPr>
          <w:rFonts w:hint="eastAsia" w:ascii="CESI仿宋-GB2312" w:hAnsi="CESI仿宋-GB2312" w:eastAsia="CESI仿宋-GB2312" w:cs="CESI仿宋-GB2312"/>
          <w:sz w:val="32"/>
          <w:szCs w:val="32"/>
        </w:rPr>
      </w:pPr>
      <w:r>
        <w:rPr>
          <w:rFonts w:hint="eastAsia" w:ascii="CESI仿宋-GB2312" w:hAnsi="CESI仿宋-GB2312" w:eastAsia="CESI仿宋-GB2312" w:cs="CESI仿宋-GB2312"/>
          <w:sz w:val="32"/>
          <w:szCs w:val="32"/>
        </w:rPr>
        <w:t>四、请说明本次拟参与“全流通</w:t>
      </w:r>
      <w:r>
        <w:rPr>
          <w:rFonts w:hint="eastAsia" w:ascii="CESI仿宋-GB2312" w:hAnsi="CESI仿宋-GB2312" w:eastAsia="CESI仿宋-GB2312" w:cs="CESI仿宋-GB2312"/>
          <w:sz w:val="32"/>
          <w:szCs w:val="32"/>
          <w:lang w:eastAsia="zh-CN"/>
        </w:rPr>
        <w:t>”</w:t>
      </w:r>
      <w:r>
        <w:rPr>
          <w:rFonts w:hint="eastAsia" w:ascii="CESI仿宋-GB2312" w:hAnsi="CESI仿宋-GB2312" w:eastAsia="CESI仿宋-GB2312" w:cs="CESI仿宋-GB2312"/>
          <w:sz w:val="32"/>
          <w:szCs w:val="32"/>
        </w:rPr>
        <w:t>股东所持股份是否存在被质押、冻结或其他权利瑕疵的情形。</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Times New Roman" w:hAnsi="Times New Roman" w:eastAsia="方正黑体_GBK" w:cs="Times New Roman"/>
          <w:sz w:val="32"/>
          <w:szCs w:val="32"/>
          <w:lang w:val="en-US" w:eastAsia="zh-CN"/>
        </w:rPr>
      </w:pPr>
      <w:r>
        <w:rPr>
          <w:rFonts w:hint="eastAsia" w:ascii="Times New Roman" w:hAnsi="Times New Roman" w:eastAsia="方正黑体_GBK" w:cs="Times New Roman"/>
          <w:sz w:val="32"/>
          <w:szCs w:val="32"/>
          <w:lang w:val="en-US" w:eastAsia="zh-CN"/>
        </w:rPr>
        <w:t>恒瑞医药</w:t>
      </w:r>
    </w:p>
    <w:p>
      <w:pPr>
        <w:ind w:firstLine="640" w:firstLineChars="200"/>
        <w:rPr>
          <w:rFonts w:hint="eastAsia" w:ascii="CESI仿宋-GB2312" w:hAnsi="CESI仿宋-GB2312" w:eastAsia="CESI仿宋-GB2312" w:cs="CESI仿宋-GB2312"/>
          <w:sz w:val="32"/>
          <w:szCs w:val="32"/>
        </w:rPr>
      </w:pPr>
      <w:r>
        <w:rPr>
          <w:rFonts w:hint="eastAsia" w:ascii="CESI仿宋-GB2312" w:hAnsi="CESI仿宋-GB2312" w:eastAsia="CESI仿宋-GB2312" w:cs="CESI仿宋-GB2312"/>
          <w:sz w:val="32"/>
          <w:szCs w:val="32"/>
        </w:rPr>
        <w:t>请你公司就以下事项补充说明，请律师核查并出具明确的法律意见：</w:t>
      </w:r>
    </w:p>
    <w:p>
      <w:pPr>
        <w:ind w:firstLine="640" w:firstLineChars="200"/>
        <w:rPr>
          <w:rFonts w:hint="eastAsia" w:ascii="CESI仿宋-GB2312" w:hAnsi="CESI仿宋-GB2312" w:eastAsia="CESI仿宋-GB2312" w:cs="CESI仿宋-GB2312"/>
          <w:sz w:val="32"/>
          <w:szCs w:val="32"/>
        </w:rPr>
      </w:pPr>
      <w:r>
        <w:rPr>
          <w:rFonts w:hint="eastAsia" w:ascii="CESI仿宋-GB2312" w:hAnsi="CESI仿宋-GB2312" w:eastAsia="CESI仿宋-GB2312" w:cs="CESI仿宋-GB2312"/>
          <w:sz w:val="32"/>
          <w:szCs w:val="32"/>
        </w:rPr>
        <w:t>请补充说明(</w:t>
      </w:r>
      <w:r>
        <w:rPr>
          <w:rFonts w:hint="eastAsia" w:ascii="Times New Roman" w:hAnsi="Times New Roman" w:eastAsia="仿宋_GB2312"/>
          <w:sz w:val="32"/>
          <w:szCs w:val="32"/>
          <w:highlight w:val="none"/>
          <w:lang w:val="en-US" w:eastAsia="zh-CN"/>
        </w:rPr>
        <w:t>1</w:t>
      </w:r>
      <w:r>
        <w:rPr>
          <w:rFonts w:hint="eastAsia" w:ascii="CESI仿宋-GB2312" w:hAnsi="CESI仿宋-GB2312" w:eastAsia="CESI仿宋-GB2312" w:cs="CESI仿宋-GB2312"/>
          <w:sz w:val="32"/>
          <w:szCs w:val="32"/>
        </w:rPr>
        <w:t>)你公司及子公司业务是否涉及《外商投资准入特别管理措施（负面清单）（</w:t>
      </w:r>
      <w:r>
        <w:rPr>
          <w:rFonts w:hint="eastAsia" w:ascii="Times New Roman" w:hAnsi="Times New Roman" w:eastAsia="仿宋_GB2312"/>
          <w:sz w:val="32"/>
          <w:szCs w:val="32"/>
          <w:highlight w:val="none"/>
          <w:lang w:val="en-US" w:eastAsia="zh-CN"/>
        </w:rPr>
        <w:t>2024</w:t>
      </w:r>
      <w:r>
        <w:rPr>
          <w:rFonts w:hint="eastAsia" w:ascii="CESI仿宋-GB2312" w:hAnsi="CESI仿宋-GB2312" w:eastAsia="CESI仿宋-GB2312" w:cs="CESI仿宋-GB2312"/>
          <w:sz w:val="32"/>
          <w:szCs w:val="32"/>
        </w:rPr>
        <w:t>年版）》中的外资禁止领域业务，即人体干细胞、基因诊断与治疗技术开发和应用；(</w:t>
      </w:r>
      <w:r>
        <w:rPr>
          <w:rFonts w:hint="eastAsia" w:ascii="Times New Roman" w:hAnsi="Times New Roman" w:eastAsia="仿宋_GB2312"/>
          <w:sz w:val="32"/>
          <w:szCs w:val="32"/>
          <w:highlight w:val="none"/>
          <w:lang w:val="en-US" w:eastAsia="zh-CN"/>
        </w:rPr>
        <w:t>2</w:t>
      </w:r>
      <w:r>
        <w:rPr>
          <w:rFonts w:hint="eastAsia" w:ascii="CESI仿宋-GB2312" w:hAnsi="CESI仿宋-GB2312" w:eastAsia="CESI仿宋-GB2312" w:cs="CESI仿宋-GB2312"/>
          <w:sz w:val="32"/>
          <w:szCs w:val="32"/>
        </w:rPr>
        <w:t>)备案报告显示，你公司及部分子公司经营范围涉及第二类增值电信业务、互联网信息服务、社会调查等外资禁止或限制领域，请说明相关业务的实际开展情况、持有的牌照和资质情况，如果未实际开展且未持有相关牌照资质，请说明经营范围包括相关业务的合理性。</w:t>
      </w: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方正仿宋_GBK" w:hAnsi="方正仿宋_GBK" w:eastAsia="方正仿宋_GBK" w:cs="方正仿宋_GBK"/>
          <w:sz w:val="32"/>
          <w:szCs w:val="32"/>
          <w:lang w:val="en-US" w:eastAsia="zh-CN"/>
        </w:rPr>
      </w:pPr>
    </w:p>
    <w:p>
      <w:pPr>
        <w:rPr>
          <w:rFonts w:hint="eastAsia"/>
          <w:lang w:eastAsia="zh-CN"/>
        </w:rPr>
      </w:pP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eastAsia" w:ascii="方正仿宋_GBK" w:hAnsi="方正仿宋_GBK" w:eastAsia="方正仿宋_GBK" w:cs="方正仿宋_GBK"/>
          <w:sz w:val="32"/>
          <w:szCs w:val="32"/>
          <w:lang w:eastAsia="zh-CN"/>
        </w:rPr>
      </w:pPr>
    </w:p>
    <w:p>
      <w:pPr>
        <w:keepNext w:val="0"/>
        <w:keepLines w:val="0"/>
        <w:pageBreakBefore w:val="0"/>
        <w:widowControl w:val="0"/>
        <w:kinsoku/>
        <w:wordWrap/>
        <w:overflowPunct/>
        <w:topLinePunct w:val="0"/>
        <w:autoSpaceDE/>
        <w:autoSpaceDN/>
        <w:bidi w:val="0"/>
        <w:adjustRightInd/>
        <w:snapToGrid/>
        <w:spacing w:line="560" w:lineRule="exact"/>
        <w:ind w:firstLine="640" w:firstLineChars="200"/>
        <w:textAlignment w:val="auto"/>
        <w:rPr>
          <w:rFonts w:hint="default" w:ascii="方正仿宋_GBK" w:hAnsi="方正仿宋_GBK" w:eastAsia="方正仿宋_GBK" w:cs="方正仿宋_GBK"/>
          <w:sz w:val="32"/>
          <w:szCs w:val="32"/>
          <w:lang w:val="en-US" w:eastAsia="zh-CN"/>
        </w:rPr>
      </w:pPr>
    </w:p>
    <w:sectPr>
      <w:headerReference r:id="rId3" w:type="default"/>
      <w:footerReference r:id="rId4" w:type="default"/>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86"/>
    <w:family w:val="auto"/>
    <w:pitch w:val="default"/>
    <w:sig w:usb0="00000000" w:usb1="00000000" w:usb2="00000000" w:usb3="00000000" w:csb0="00040001" w:csb1="00000000"/>
  </w:font>
  <w:font w:name="Wingdings">
    <w:panose1 w:val="05000000000000000000"/>
    <w:charset w:val="02"/>
    <w:family w:val="auto"/>
    <w:pitch w:val="default"/>
    <w:sig w:usb0="00000000" w:usb1="00000000" w:usb2="00000000" w:usb3="00000000" w:csb0="80000000" w:csb1="00000000"/>
  </w:font>
  <w:font w:name="Arial">
    <w:altName w:val="DejaVu Sans"/>
    <w:panose1 w:val="020B0604020202020204"/>
    <w:charset w:val="01"/>
    <w:family w:val="swiss"/>
    <w:pitch w:val="default"/>
    <w:sig w:usb0="E0002AFF" w:usb1="C0007843" w:usb2="00000009" w:usb3="00000000" w:csb0="400001FF" w:csb1="FFFF0000"/>
  </w:font>
  <w:font w:name="黑体">
    <w:altName w:val="方正黑体_GBK"/>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2000609000000000000"/>
    <w:charset w:val="02"/>
    <w:family w:val="roman"/>
    <w:pitch w:val="default"/>
    <w:sig w:usb0="800000AF" w:usb1="4000204A" w:usb2="00000000" w:usb3="00000000" w:csb0="20000000" w:csb1="00000000"/>
  </w:font>
  <w:font w:name="DejaVu Sans">
    <w:panose1 w:val="020B0603030804020204"/>
    <w:charset w:val="00"/>
    <w:family w:val="auto"/>
    <w:pitch w:val="default"/>
    <w:sig w:usb0="E7006EFF" w:usb1="D200FDFF" w:usb2="0A246029" w:usb3="0400200C" w:csb0="600001FF" w:csb1="DFFF0000"/>
  </w:font>
  <w:font w:name="Calibri">
    <w:altName w:val="微软雅黑"/>
    <w:panose1 w:val="020F0502020204030204"/>
    <w:charset w:val="00"/>
    <w:family w:val="swiss"/>
    <w:pitch w:val="default"/>
    <w:sig w:usb0="00000000" w:usb1="00000000" w:usb2="00000001" w:usb3="00000000" w:csb0="0000019F" w:csb1="00000000"/>
  </w:font>
  <w:font w:name="微软雅黑">
    <w:panose1 w:val="020B0503020204020204"/>
    <w:charset w:val="86"/>
    <w:family w:val="auto"/>
    <w:pitch w:val="default"/>
    <w:sig w:usb0="80000287" w:usb1="280F3C52" w:usb2="00000016" w:usb3="00000000" w:csb0="0004001F" w:csb1="00000000"/>
  </w:font>
  <w:font w:name="方正书宋_GBK">
    <w:panose1 w:val="02000000000000000000"/>
    <w:charset w:val="86"/>
    <w:family w:val="auto"/>
    <w:pitch w:val="default"/>
    <w:sig w:usb0="00000001" w:usb1="08000000" w:usb2="00000000" w:usb3="00000000" w:csb0="00040000" w:csb1="00000000"/>
  </w:font>
  <w:font w:name="方正大标宋简体">
    <w:altName w:val="微软雅黑"/>
    <w:panose1 w:val="03000509000000000000"/>
    <w:charset w:val="00"/>
    <w:family w:val="auto"/>
    <w:pitch w:val="default"/>
    <w:sig w:usb0="00000000" w:usb1="00000000" w:usb2="00000000" w:usb3="00000000" w:csb0="00040000" w:csb1="00000000"/>
  </w:font>
  <w:font w:name="sysfST">
    <w:altName w:val="微软雅黑"/>
    <w:panose1 w:val="00000000000000000000"/>
    <w:charset w:val="00"/>
    <w:family w:val="auto"/>
    <w:pitch w:val="default"/>
    <w:sig w:usb0="00000000" w:usb1="00000000" w:usb2="00000000" w:usb3="00000000" w:csb0="00040001" w:csb1="00000000"/>
  </w:font>
  <w:font w:name="仿宋_GB2312">
    <w:altName w:val="微软雅黑"/>
    <w:panose1 w:val="02010609030101010101"/>
    <w:charset w:val="00"/>
    <w:family w:val="auto"/>
    <w:pitch w:val="default"/>
    <w:sig w:usb0="00000000" w:usb1="00000000" w:usb2="00000000" w:usb3="00000000" w:csb0="00040000" w:csb1="00000000"/>
  </w:font>
  <w:font w:name="方正黑体_GBK">
    <w:panose1 w:val="02000000000000000000"/>
    <w:charset w:val="86"/>
    <w:family w:val="auto"/>
    <w:pitch w:val="default"/>
    <w:sig w:usb0="00000001" w:usb1="08000000" w:usb2="00000000" w:usb3="00000000" w:csb0="00040000" w:csb1="00000000"/>
  </w:font>
  <w:font w:name="方正仿宋_GBK">
    <w:panose1 w:val="02000000000000000000"/>
    <w:charset w:val="86"/>
    <w:family w:val="auto"/>
    <w:pitch w:val="default"/>
    <w:sig w:usb0="00000001" w:usb1="08000000" w:usb2="00000000" w:usb3="00000000" w:csb0="00040000" w:csb1="00000000"/>
  </w:font>
  <w:font w:name="CESI仿宋-GB2312">
    <w:panose1 w:val="02000500000000000000"/>
    <w:charset w:val="86"/>
    <w:family w:val="auto"/>
    <w:pitch w:val="default"/>
    <w:sig w:usb0="800002AF" w:usb1="084F6CF8" w:usb2="00000010" w:usb3="00000000" w:csb0="0004000F" w:csb1="00000000"/>
  </w:font>
  <w:font w:name="Microsoft YaHei">
    <w:panose1 w:val="020B0503020204020204"/>
    <w:charset w:val="86"/>
    <w:family w:val="auto"/>
    <w:pitch w:val="default"/>
    <w:sig w:usb0="80000287" w:usb1="280F3C52" w:usb2="00000016" w:usb3="00000000" w:csb0="0004001F" w:csb1="00000000"/>
  </w:font>
  <w:font w:name="Tahoma">
    <w:altName w:val="DejaVu Sans"/>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pPr>
                            <w:pStyle w:val="2"/>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WAAAAZHJzL1BLAQIUABQAAAAIAIdO4kCzSVju0AAAAAUBAAAPAAAAAAAAAAEAIAAA&#10;ADgAAABkcnMvZG93bnJldi54bWxQSwECFAAUAAAACACHTuJAvXQbdjcCAABvBAAADgAAAAAAAAAB&#10;ACAAAAA1AQAAZHJzL2Uyb0RvYy54bWxQSwUGAAAAAAYABgBZAQAA3gUAAAAA&#10;">
              <v:fill on="f" focussize="0,0"/>
              <v:stroke on="f" weight="0.5pt"/>
              <v:imagedata o:title=""/>
              <o:lock v:ext="edit" aspectratio="f"/>
              <v:textbox inset="0mm,0mm,0mm,0mm" style="mso-fit-shape-to-text:t;">
                <w:txbxContent>
                  <w:p>
                    <w:pPr>
                      <w:pStyle w:val="2"/>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420"/>
  <w:hyphenationZone w:val="360"/>
  <w:drawingGridVerticalSpacing w:val="156"/>
  <w:displayHorizontalDrawingGridEvery w:val="1"/>
  <w:displayVerticalDrawingGridEvery w:val="1"/>
  <w:noPunctuationKerning w:val="1"/>
  <w:characterSpacingControl w:val="compressPunctuation"/>
  <w:hdrShapeDefaults>
    <o:shapelayout v:ext="edit">
      <o:idmap v:ext="edit" data="3,4"/>
    </o:shapelayout>
  </w:hdrShapeDefaults>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CDFAF5B4"/>
    <w:rsid w:val="005A5692"/>
    <w:rsid w:val="05652FA1"/>
    <w:rsid w:val="0A2B102C"/>
    <w:rsid w:val="0DEFB09E"/>
    <w:rsid w:val="0FF9EF93"/>
    <w:rsid w:val="171F6771"/>
    <w:rsid w:val="17F333E4"/>
    <w:rsid w:val="17FD84BC"/>
    <w:rsid w:val="185C7EE9"/>
    <w:rsid w:val="1D4B0807"/>
    <w:rsid w:val="21BB4486"/>
    <w:rsid w:val="2453322D"/>
    <w:rsid w:val="255DE78B"/>
    <w:rsid w:val="25ED5C0C"/>
    <w:rsid w:val="291D2AE2"/>
    <w:rsid w:val="2AF4F5B0"/>
    <w:rsid w:val="2B7AAE73"/>
    <w:rsid w:val="2C8F9EF0"/>
    <w:rsid w:val="2CBF98A1"/>
    <w:rsid w:val="2E63AAAF"/>
    <w:rsid w:val="2EBF36B2"/>
    <w:rsid w:val="2FB7720B"/>
    <w:rsid w:val="2FD96C99"/>
    <w:rsid w:val="2FED94B0"/>
    <w:rsid w:val="2FF5E8BD"/>
    <w:rsid w:val="2FFB93B4"/>
    <w:rsid w:val="33FD4772"/>
    <w:rsid w:val="33FF0EAD"/>
    <w:rsid w:val="351E34E4"/>
    <w:rsid w:val="355FF2F3"/>
    <w:rsid w:val="35B33B6C"/>
    <w:rsid w:val="35BD5691"/>
    <w:rsid w:val="37FE54D4"/>
    <w:rsid w:val="37FFA508"/>
    <w:rsid w:val="395F23BC"/>
    <w:rsid w:val="3BF300A6"/>
    <w:rsid w:val="3BF93528"/>
    <w:rsid w:val="3DFF2E83"/>
    <w:rsid w:val="3EF7CE44"/>
    <w:rsid w:val="3F5D02ED"/>
    <w:rsid w:val="3F5E63A9"/>
    <w:rsid w:val="3FBE5D31"/>
    <w:rsid w:val="3FF3B4EB"/>
    <w:rsid w:val="3FF77D9F"/>
    <w:rsid w:val="3FFF5109"/>
    <w:rsid w:val="43BF1CD8"/>
    <w:rsid w:val="467EA25A"/>
    <w:rsid w:val="46FB3128"/>
    <w:rsid w:val="4AFC1F7C"/>
    <w:rsid w:val="4DFCCF35"/>
    <w:rsid w:val="4F67EC1C"/>
    <w:rsid w:val="4F9F7159"/>
    <w:rsid w:val="4FD555C3"/>
    <w:rsid w:val="537B2CCB"/>
    <w:rsid w:val="53F9EC31"/>
    <w:rsid w:val="53FF4AD4"/>
    <w:rsid w:val="56732FAB"/>
    <w:rsid w:val="575F59D4"/>
    <w:rsid w:val="577F03F8"/>
    <w:rsid w:val="59EAA982"/>
    <w:rsid w:val="59FDEF05"/>
    <w:rsid w:val="5B3A80D2"/>
    <w:rsid w:val="5BFEEAF0"/>
    <w:rsid w:val="5C6FE5EC"/>
    <w:rsid w:val="5CFD5408"/>
    <w:rsid w:val="5D1E63DC"/>
    <w:rsid w:val="5DABF72F"/>
    <w:rsid w:val="5DF2DD93"/>
    <w:rsid w:val="5DF77268"/>
    <w:rsid w:val="5EF7CBD7"/>
    <w:rsid w:val="5EFF8778"/>
    <w:rsid w:val="5F7EEB54"/>
    <w:rsid w:val="5FBAC526"/>
    <w:rsid w:val="5FBD0436"/>
    <w:rsid w:val="5FBEF08F"/>
    <w:rsid w:val="5FD3AB61"/>
    <w:rsid w:val="5FDC53C6"/>
    <w:rsid w:val="5FDFCA51"/>
    <w:rsid w:val="5FEEB703"/>
    <w:rsid w:val="5FFB43CC"/>
    <w:rsid w:val="5FFED4F7"/>
    <w:rsid w:val="64221F00"/>
    <w:rsid w:val="64D87F31"/>
    <w:rsid w:val="65FD047C"/>
    <w:rsid w:val="67FBB9AF"/>
    <w:rsid w:val="67FDA652"/>
    <w:rsid w:val="67FEE590"/>
    <w:rsid w:val="67FF8589"/>
    <w:rsid w:val="687F6037"/>
    <w:rsid w:val="689FB0EA"/>
    <w:rsid w:val="695D5B7B"/>
    <w:rsid w:val="699B6F97"/>
    <w:rsid w:val="6A6F589E"/>
    <w:rsid w:val="6BE93B6A"/>
    <w:rsid w:val="6C2CFD0C"/>
    <w:rsid w:val="6CFFD41B"/>
    <w:rsid w:val="6D7F7769"/>
    <w:rsid w:val="6D7FFA4E"/>
    <w:rsid w:val="6E7B572D"/>
    <w:rsid w:val="6F3CEBE0"/>
    <w:rsid w:val="6F63236F"/>
    <w:rsid w:val="6F6F30D8"/>
    <w:rsid w:val="6F77AED1"/>
    <w:rsid w:val="6FB7BF97"/>
    <w:rsid w:val="6FBFA923"/>
    <w:rsid w:val="6FD7D002"/>
    <w:rsid w:val="6FEC159A"/>
    <w:rsid w:val="6FFD88D1"/>
    <w:rsid w:val="6FFF548D"/>
    <w:rsid w:val="71BC27D3"/>
    <w:rsid w:val="71EB6D43"/>
    <w:rsid w:val="71EFC2FB"/>
    <w:rsid w:val="727B92DA"/>
    <w:rsid w:val="7387391C"/>
    <w:rsid w:val="73BE761E"/>
    <w:rsid w:val="73FEEA08"/>
    <w:rsid w:val="73FF2041"/>
    <w:rsid w:val="73FF3BBD"/>
    <w:rsid w:val="73FF9036"/>
    <w:rsid w:val="745FCC1D"/>
    <w:rsid w:val="75794409"/>
    <w:rsid w:val="76BF79A7"/>
    <w:rsid w:val="76D528B5"/>
    <w:rsid w:val="76EF0FED"/>
    <w:rsid w:val="76F3E6A9"/>
    <w:rsid w:val="76FEAAF5"/>
    <w:rsid w:val="7707987A"/>
    <w:rsid w:val="774E9DBA"/>
    <w:rsid w:val="7756AE3B"/>
    <w:rsid w:val="775BB60B"/>
    <w:rsid w:val="776F9818"/>
    <w:rsid w:val="7772B3D2"/>
    <w:rsid w:val="777FE4E5"/>
    <w:rsid w:val="77BB2612"/>
    <w:rsid w:val="77F63C38"/>
    <w:rsid w:val="77FDDFEE"/>
    <w:rsid w:val="77FEFAD1"/>
    <w:rsid w:val="77FF032B"/>
    <w:rsid w:val="77FF0AD3"/>
    <w:rsid w:val="77FF3978"/>
    <w:rsid w:val="78DFC3FA"/>
    <w:rsid w:val="78F73F22"/>
    <w:rsid w:val="797A2F6C"/>
    <w:rsid w:val="79BF3A2D"/>
    <w:rsid w:val="79D538E0"/>
    <w:rsid w:val="79FBA84A"/>
    <w:rsid w:val="79FF9C64"/>
    <w:rsid w:val="7A6E21A3"/>
    <w:rsid w:val="7A7C278B"/>
    <w:rsid w:val="7ADFF88D"/>
    <w:rsid w:val="7AFDCF84"/>
    <w:rsid w:val="7AFF34E5"/>
    <w:rsid w:val="7AFFF49F"/>
    <w:rsid w:val="7B7200E4"/>
    <w:rsid w:val="7B779CEC"/>
    <w:rsid w:val="7BB31587"/>
    <w:rsid w:val="7BB4D7E1"/>
    <w:rsid w:val="7BB6B808"/>
    <w:rsid w:val="7BBF8C02"/>
    <w:rsid w:val="7BD3A58F"/>
    <w:rsid w:val="7BDF0B11"/>
    <w:rsid w:val="7BF6AE2F"/>
    <w:rsid w:val="7BF6E55C"/>
    <w:rsid w:val="7BFBBAFC"/>
    <w:rsid w:val="7BFD7C89"/>
    <w:rsid w:val="7BFDE2F9"/>
    <w:rsid w:val="7BFF2CFD"/>
    <w:rsid w:val="7CBA4E74"/>
    <w:rsid w:val="7CBC4E39"/>
    <w:rsid w:val="7CBF9F3A"/>
    <w:rsid w:val="7CF7E1EF"/>
    <w:rsid w:val="7CF9FD3E"/>
    <w:rsid w:val="7D7F1013"/>
    <w:rsid w:val="7D7FE6EC"/>
    <w:rsid w:val="7DBFD159"/>
    <w:rsid w:val="7DD98CE9"/>
    <w:rsid w:val="7DEE8249"/>
    <w:rsid w:val="7DEFD2A7"/>
    <w:rsid w:val="7DFA5EB4"/>
    <w:rsid w:val="7DFE8840"/>
    <w:rsid w:val="7E5C34B7"/>
    <w:rsid w:val="7EB8C5C1"/>
    <w:rsid w:val="7EBF9F84"/>
    <w:rsid w:val="7EDE3C4C"/>
    <w:rsid w:val="7EEF45C6"/>
    <w:rsid w:val="7EFFA2BF"/>
    <w:rsid w:val="7F3948BB"/>
    <w:rsid w:val="7F799961"/>
    <w:rsid w:val="7F7B1B05"/>
    <w:rsid w:val="7F7FA5A3"/>
    <w:rsid w:val="7F956F7A"/>
    <w:rsid w:val="7F9E9825"/>
    <w:rsid w:val="7FAD2AF3"/>
    <w:rsid w:val="7FADDB1D"/>
    <w:rsid w:val="7FAF57F3"/>
    <w:rsid w:val="7FBD694C"/>
    <w:rsid w:val="7FC66A5F"/>
    <w:rsid w:val="7FCBA352"/>
    <w:rsid w:val="7FD5D345"/>
    <w:rsid w:val="7FE8BEE1"/>
    <w:rsid w:val="7FEFA0C2"/>
    <w:rsid w:val="7FF01D11"/>
    <w:rsid w:val="7FF7769A"/>
    <w:rsid w:val="7FF7DCF2"/>
    <w:rsid w:val="7FF89EF2"/>
    <w:rsid w:val="7FFDC7FA"/>
    <w:rsid w:val="7FFFAE8B"/>
    <w:rsid w:val="7FFFC4C4"/>
    <w:rsid w:val="7FFFCE12"/>
    <w:rsid w:val="7FFFF313"/>
    <w:rsid w:val="97FAADA5"/>
    <w:rsid w:val="9B339AF2"/>
    <w:rsid w:val="9BE33342"/>
    <w:rsid w:val="9CFFFE03"/>
    <w:rsid w:val="9DFD1896"/>
    <w:rsid w:val="9E6782C0"/>
    <w:rsid w:val="9EFF6EE9"/>
    <w:rsid w:val="9FA346E3"/>
    <w:rsid w:val="9FDED63D"/>
    <w:rsid w:val="A7636F25"/>
    <w:rsid w:val="A7667E3B"/>
    <w:rsid w:val="AAEC6413"/>
    <w:rsid w:val="AB7F36E3"/>
    <w:rsid w:val="ABE5C066"/>
    <w:rsid w:val="AE7A6A90"/>
    <w:rsid w:val="AF8F56D0"/>
    <w:rsid w:val="AFDF8E1C"/>
    <w:rsid w:val="B22742D2"/>
    <w:rsid w:val="B379C565"/>
    <w:rsid w:val="B3EECBF7"/>
    <w:rsid w:val="B3EF337F"/>
    <w:rsid w:val="B4FBEE68"/>
    <w:rsid w:val="B6F5EA92"/>
    <w:rsid w:val="B76FDBA6"/>
    <w:rsid w:val="B777CFE7"/>
    <w:rsid w:val="B7BF2D96"/>
    <w:rsid w:val="B7BF8DEC"/>
    <w:rsid w:val="B7FD84A5"/>
    <w:rsid w:val="B8F7BDA9"/>
    <w:rsid w:val="BAD34662"/>
    <w:rsid w:val="BB1E9A4F"/>
    <w:rsid w:val="BBD1D2C6"/>
    <w:rsid w:val="BBD6E32F"/>
    <w:rsid w:val="BBEE818F"/>
    <w:rsid w:val="BBF70A8B"/>
    <w:rsid w:val="BDADC548"/>
    <w:rsid w:val="BDFB1227"/>
    <w:rsid w:val="BE6F8DDC"/>
    <w:rsid w:val="BE75A388"/>
    <w:rsid w:val="BEAD8650"/>
    <w:rsid w:val="BEC57CB7"/>
    <w:rsid w:val="BED571C1"/>
    <w:rsid w:val="BEDF4EA3"/>
    <w:rsid w:val="BEF31206"/>
    <w:rsid w:val="BEFB11D2"/>
    <w:rsid w:val="BF5F1AE9"/>
    <w:rsid w:val="BF6D8282"/>
    <w:rsid w:val="BF7511AB"/>
    <w:rsid w:val="BFA631D0"/>
    <w:rsid w:val="BFB7EF86"/>
    <w:rsid w:val="BFBF4015"/>
    <w:rsid w:val="BFBF625C"/>
    <w:rsid w:val="BFBFCD53"/>
    <w:rsid w:val="BFDBFE4C"/>
    <w:rsid w:val="BFDEFE84"/>
    <w:rsid w:val="BFDF0EC3"/>
    <w:rsid w:val="BFEF7422"/>
    <w:rsid w:val="BFFB9147"/>
    <w:rsid w:val="BFFF360C"/>
    <w:rsid w:val="BFFF5208"/>
    <w:rsid w:val="C7F72922"/>
    <w:rsid w:val="CDB6DE81"/>
    <w:rsid w:val="CDFAF5B4"/>
    <w:rsid w:val="CF6F1FEB"/>
    <w:rsid w:val="CF850594"/>
    <w:rsid w:val="CFBE415F"/>
    <w:rsid w:val="CFE39D61"/>
    <w:rsid w:val="CFEFC41B"/>
    <w:rsid w:val="CFFD5964"/>
    <w:rsid w:val="D2AEFD39"/>
    <w:rsid w:val="D38F5BB0"/>
    <w:rsid w:val="D47E7E86"/>
    <w:rsid w:val="D637E125"/>
    <w:rsid w:val="D6C54BFB"/>
    <w:rsid w:val="D779B982"/>
    <w:rsid w:val="D7FF0922"/>
    <w:rsid w:val="D8DF347D"/>
    <w:rsid w:val="DA477FC9"/>
    <w:rsid w:val="DA7D2610"/>
    <w:rsid w:val="DB3B6D81"/>
    <w:rsid w:val="DBE7F07D"/>
    <w:rsid w:val="DBEBCCFD"/>
    <w:rsid w:val="DBF404C9"/>
    <w:rsid w:val="DCFC869C"/>
    <w:rsid w:val="DDE7B892"/>
    <w:rsid w:val="DDFE5719"/>
    <w:rsid w:val="DEDF0579"/>
    <w:rsid w:val="DEEE49F4"/>
    <w:rsid w:val="DEFDBADA"/>
    <w:rsid w:val="DFB77093"/>
    <w:rsid w:val="DFBA9CF4"/>
    <w:rsid w:val="DFD9E41F"/>
    <w:rsid w:val="DFE5A22D"/>
    <w:rsid w:val="DFE7E878"/>
    <w:rsid w:val="DFEF17C0"/>
    <w:rsid w:val="DFF77525"/>
    <w:rsid w:val="E3A3D90B"/>
    <w:rsid w:val="E67F38E5"/>
    <w:rsid w:val="E7451F00"/>
    <w:rsid w:val="E77E761C"/>
    <w:rsid w:val="E77FB003"/>
    <w:rsid w:val="E7E4AAA3"/>
    <w:rsid w:val="E7FDC623"/>
    <w:rsid w:val="E7FFEB4F"/>
    <w:rsid w:val="EA5F50A9"/>
    <w:rsid w:val="EAA7911E"/>
    <w:rsid w:val="EAFD4E19"/>
    <w:rsid w:val="EBBC0527"/>
    <w:rsid w:val="EBDF893F"/>
    <w:rsid w:val="ECEFE2D1"/>
    <w:rsid w:val="ED78A4F9"/>
    <w:rsid w:val="ED7F4B20"/>
    <w:rsid w:val="ED7FEABE"/>
    <w:rsid w:val="ED8EA64C"/>
    <w:rsid w:val="EDBD09A9"/>
    <w:rsid w:val="EDE59D21"/>
    <w:rsid w:val="EDE77F53"/>
    <w:rsid w:val="EDF5B704"/>
    <w:rsid w:val="EE5B869C"/>
    <w:rsid w:val="EEDF1829"/>
    <w:rsid w:val="EEDFA629"/>
    <w:rsid w:val="EEE7BB01"/>
    <w:rsid w:val="EEFBB1C8"/>
    <w:rsid w:val="EF7E0537"/>
    <w:rsid w:val="EFAD22A7"/>
    <w:rsid w:val="EFBFA6BD"/>
    <w:rsid w:val="EFDFED44"/>
    <w:rsid w:val="EFF489A9"/>
    <w:rsid w:val="EFFCA10E"/>
    <w:rsid w:val="EFFF6804"/>
    <w:rsid w:val="F1789489"/>
    <w:rsid w:val="F2FF67FB"/>
    <w:rsid w:val="F3AE3962"/>
    <w:rsid w:val="F3FBBB12"/>
    <w:rsid w:val="F3FF76A6"/>
    <w:rsid w:val="F56F62A3"/>
    <w:rsid w:val="F5DB4A6F"/>
    <w:rsid w:val="F5DDF558"/>
    <w:rsid w:val="F65FC488"/>
    <w:rsid w:val="F66FFFBE"/>
    <w:rsid w:val="F67F1AA1"/>
    <w:rsid w:val="F6FF736B"/>
    <w:rsid w:val="F6FF8ABB"/>
    <w:rsid w:val="F7736D80"/>
    <w:rsid w:val="F77B17AA"/>
    <w:rsid w:val="F7DE2618"/>
    <w:rsid w:val="F91FCA98"/>
    <w:rsid w:val="F96776E3"/>
    <w:rsid w:val="F97331AD"/>
    <w:rsid w:val="F99E6094"/>
    <w:rsid w:val="F9CB7EDE"/>
    <w:rsid w:val="F9EF4047"/>
    <w:rsid w:val="F9F77072"/>
    <w:rsid w:val="FAD719C1"/>
    <w:rsid w:val="FAF5F95B"/>
    <w:rsid w:val="FAFFD3F9"/>
    <w:rsid w:val="FB3E0F69"/>
    <w:rsid w:val="FB7BB860"/>
    <w:rsid w:val="FB7D38C0"/>
    <w:rsid w:val="FB8B557E"/>
    <w:rsid w:val="FB9DC6A3"/>
    <w:rsid w:val="FBB35640"/>
    <w:rsid w:val="FBD749A8"/>
    <w:rsid w:val="FBEADAD9"/>
    <w:rsid w:val="FBFB2C84"/>
    <w:rsid w:val="FBFB2FCA"/>
    <w:rsid w:val="FBFDA5AC"/>
    <w:rsid w:val="FBFE2026"/>
    <w:rsid w:val="FC5FE86C"/>
    <w:rsid w:val="FC6F6A3D"/>
    <w:rsid w:val="FC7B643D"/>
    <w:rsid w:val="FC7FDC4A"/>
    <w:rsid w:val="FD7F35EC"/>
    <w:rsid w:val="FDBFF543"/>
    <w:rsid w:val="FDDFFD9A"/>
    <w:rsid w:val="FDFE9EFA"/>
    <w:rsid w:val="FE398695"/>
    <w:rsid w:val="FE572BBB"/>
    <w:rsid w:val="FE7F3A36"/>
    <w:rsid w:val="FEBFC724"/>
    <w:rsid w:val="FEDF5629"/>
    <w:rsid w:val="FEF37979"/>
    <w:rsid w:val="FEF445FD"/>
    <w:rsid w:val="FEF7DC0E"/>
    <w:rsid w:val="FEFD2E95"/>
    <w:rsid w:val="FEFF005D"/>
    <w:rsid w:val="FEFF6E20"/>
    <w:rsid w:val="FF3522AB"/>
    <w:rsid w:val="FFB9E6AD"/>
    <w:rsid w:val="FFBE287E"/>
    <w:rsid w:val="FFC6C8AE"/>
    <w:rsid w:val="FFD5AA4B"/>
    <w:rsid w:val="FFEA163F"/>
    <w:rsid w:val="FFEA5764"/>
    <w:rsid w:val="FFEBE4B7"/>
    <w:rsid w:val="FFEF5A82"/>
    <w:rsid w:val="FFF5A8EC"/>
    <w:rsid w:val="FFF96D96"/>
    <w:rsid w:val="FFFC471C"/>
    <w:rsid w:val="FFFD39A1"/>
    <w:rsid w:val="FFFDC110"/>
    <w:rsid w:val="FFFF2027"/>
    <w:rsid w:val="FFFFD8E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uppressAutoHyphens/>
      <w:jc w:val="both"/>
    </w:pPr>
    <w:rPr>
      <w:rFonts w:ascii="Calibri" w:hAnsi="Calibri" w:eastAsia="宋体" w:cs="Times New Roman"/>
      <w:kern w:val="2"/>
      <w:sz w:val="21"/>
      <w:szCs w:val="24"/>
      <w:lang w:val="en-US" w:eastAsia="zh-CN" w:bidi="ar-SA"/>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szCs w:val="18"/>
    </w:rPr>
  </w:style>
  <w:style w:type="paragraph" w:styleId="3">
    <w:name w:val="header"/>
    <w:basedOn w:val="1"/>
    <w:qFormat/>
    <w:uiPriority w:val="0"/>
    <w:pPr>
      <w:tabs>
        <w:tab w:val="center" w:pos="4153"/>
        <w:tab w:val="right" w:pos="8306"/>
      </w:tabs>
      <w:snapToGrid w:val="0"/>
      <w:jc w:val="center"/>
    </w:pPr>
    <w:rPr>
      <w:sz w:val="18"/>
      <w:szCs w:val="18"/>
    </w:rPr>
  </w:style>
  <w:style w:type="paragraph" w:styleId="4">
    <w:name w:val="Normal (Web)"/>
    <w:basedOn w:val="1"/>
    <w:qFormat/>
    <w:uiPriority w:val="0"/>
    <w:pPr>
      <w:spacing w:before="100" w:beforeAutospacing="1" w:after="100" w:afterAutospacing="1"/>
      <w:ind w:left="0" w:right="0"/>
      <w:jc w:val="left"/>
    </w:pPr>
    <w:rPr>
      <w:kern w:val="0"/>
      <w:sz w:val="24"/>
      <w:lang w:val="en-US" w:eastAsia="zh-CN" w:bidi="ar"/>
    </w:rPr>
  </w:style>
  <w:style w:type="character" w:styleId="7">
    <w:name w:val="Hyperlink"/>
    <w:basedOn w:val="6"/>
    <w:qFormat/>
    <w:uiPriority w:val="0"/>
    <w:rPr>
      <w:color w:val="0000FF"/>
      <w:u w:val="single"/>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134</TotalTime>
  <ScaleCrop>false</ScaleCrop>
  <LinksUpToDate>false</LinksUpToDate>
  <CharactersWithSpaces>0</CharactersWithSpaces>
  <Application>WPS Office_12.8.2.1113_F1E327BC-269C-435d-A152-05C5408002CA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2023-11-18T01:34:00Z</dcterms:created>
  <dc:creator>csrc</dc:creator>
  <cp:lastModifiedBy>csrc</cp:lastModifiedBy>
  <dcterms:modified xsi:type="dcterms:W3CDTF">2025-02-14T14:09:55Z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2052-12.8.2.1113</vt:lpwstr>
  </property>
  <property fmtid="{D5CDD505-2E9C-101B-9397-08002B2CF9AE}" pid="3" name="ICV">
    <vt:lpwstr>6E50D6BC1684E1C319E41065FCFC32D4</vt:lpwstr>
  </property>
</Properties>
</file>