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jc w:val="left"/>
      </w:pPr>
      <w:r>
        <w:rPr>
          <w:rFonts w:ascii="Calibri" w:cs="Calibri" w:eastAsia="Calibri" w:hAnsi="Calibri"/>
          <w:b w:val="false"/>
          <w:bCs w:val="false"/>
          <w:sz w:val="22"/>
          <w:szCs w:val="22"/>
        </w:rPr>
        <w:t xml:space="preserve"/>
      </w:r>
    </w:p>
    <w:p>
      <w:pPr>
        <w:spacing w:after="160" w:before="0"/>
        <w:jc w:val="center"/>
      </w:pPr>
      <w:r>
        <w:rPr>
          <w:rFonts w:ascii="Calibri" w:cs="Calibri" w:eastAsia="Calibri" w:hAnsi="Calibri"/>
          <w:b/>
          <w:bCs/>
          <w:color w:val="1a2744"/>
          <w:sz w:val="52"/>
          <w:szCs w:val="52"/>
        </w:rPr>
        <w:t xml:space="preserve">INFORMATION MEMORANDUM</w:t>
      </w:r>
    </w:p>
    <w:p>
      <w:pPr>
        <w:spacing w:after="240" w:before="0"/>
        <w:jc w:val="center"/>
      </w:pPr>
      <w:r>
        <w:rPr>
          <w:rFonts w:ascii="Calibri" w:cs="Calibri" w:eastAsia="Calibri" w:hAnsi="Calibri"/>
          <w:b w:val="false"/>
          <w:bCs w:val="false"/>
          <w:color w:val="1a2744"/>
          <w:sz w:val="28"/>
          <w:szCs w:val="28"/>
        </w:rPr>
        <w:t xml:space="preserve">AI-Powered Quantitative Trading Signal Platform</w:t>
      </w:r>
    </w:p>
    <w:p>
      <w:pPr>
        <w:spacing w:after="80" w:before="0"/>
        <w:jc w:val="center"/>
      </w:pPr>
      <w:r>
        <w:rPr>
          <w:rFonts w:ascii="Calibri" w:cs="Calibri" w:eastAsia="Calibri" w:hAnsi="Calibri"/>
          <w:b/>
          <w:bCs/>
          <w:color w:val="1a2744"/>
          <w:sz w:val="28"/>
          <w:szCs w:val="28"/>
        </w:rPr>
        <w:t xml:space="preserve">Stockqueen Technology Pty Ltd</w:t>
      </w:r>
    </w:p>
    <w:p>
      <w:pPr>
        <w:spacing w:after="240" w:before="0"/>
        <w:jc w:val="center"/>
      </w:pPr>
      <w:r>
        <w:rPr>
          <w:rFonts w:ascii="Calibri" w:cs="Calibri" w:eastAsia="Calibri" w:hAnsi="Calibri"/>
          <w:b w:val="false"/>
          <w:bCs w:val="false"/>
          <w:color w:val="666666"/>
          <w:sz w:val="22"/>
          <w:szCs w:val="22"/>
        </w:rPr>
        <w:t xml:space="preserve">(ACN: [To Be Allocated])</w:t>
      </w:r>
    </w:p>
    <w:p>
      <w:pPr>
        <w:spacing w:after="480" w:before="0"/>
        <w:jc w:val="center"/>
      </w:pPr>
      <w:r>
        <w:rPr>
          <w:rFonts w:ascii="Calibri" w:cs="Calibri" w:eastAsia="Calibri" w:hAnsi="Calibri"/>
          <w:b w:val="false"/>
          <w:bCs w:val="false"/>
          <w:sz w:val="24"/>
          <w:szCs w:val="24"/>
        </w:rPr>
        <w:t xml:space="preserve">March 2026</w:t>
      </w:r>
    </w:p>
    <w:p>
      <w:pPr>
        <w:spacing w:after="80" w:before="0"/>
        <w:jc w:val="center"/>
      </w:pPr>
      <w:r>
        <w:rPr>
          <w:rFonts w:ascii="Calibri" w:cs="Calibri" w:eastAsia="Calibri" w:hAnsi="Calibri"/>
          <w:b/>
          <w:bCs/>
          <w:color w:val="1a2744"/>
          <w:sz w:val="26"/>
          <w:szCs w:val="26"/>
        </w:rPr>
        <w:t xml:space="preserve">Seed Round: USD $500,000</w:t>
      </w:r>
    </w:p>
    <w:p>
      <w:pPr>
        <w:spacing w:after="720" w:before="0"/>
        <w:jc w:val="center"/>
      </w:pPr>
      <w:r>
        <w:rPr>
          <w:rFonts w:ascii="Calibri" w:cs="Calibri" w:eastAsia="Calibri" w:hAnsi="Calibri"/>
          <w:b/>
          <w:bCs/>
          <w:color w:val="1a2744"/>
          <w:sz w:val="26"/>
          <w:szCs w:val="26"/>
        </w:rPr>
        <w:t xml:space="preserve">Pre-Money Valuation: USD $6,000,000</w:t>
      </w:r>
    </w:p>
    <w:p>
      <w:pPr>
        <w:spacing w:after="0" w:before="0"/>
        <w:jc w:val="center"/>
      </w:pPr>
      <w:r>
        <w:rPr>
          <w:rFonts w:ascii="Calibri" w:cs="Calibri" w:eastAsia="Calibri" w:hAnsi="Calibri"/>
          <w:b/>
          <w:bCs/>
          <w:color w:val="CC0000"/>
          <w:sz w:val="22"/>
          <w:szCs w:val="22"/>
        </w:rPr>
        <w:t xml:space="preserve">PRIVATE &amp; CONFIDENTIAL</w:t>
      </w:r>
    </w:p>
    <w:p>
      <w:r>
        <w:br w:type="page"/>
      </w:r>
    </w:p>
    <w:p>
      <w:pPr>
        <w:spacing w:after="160" w:before="0"/>
        <w:jc w:val="left"/>
      </w:pPr>
      <w:r>
        <w:rPr>
          <w:rFonts w:ascii="Calibri" w:cs="Calibri" w:eastAsia="Calibri" w:hAnsi="Calibri"/>
          <w:b/>
          <w:bCs/>
          <w:color w:val="1a2744"/>
          <w:sz w:val="28"/>
          <w:szCs w:val="28"/>
        </w:rPr>
        <w:t xml:space="preserve">IMPORTANT NOTICES</w:t>
      </w:r>
    </w:p>
    <w:p>
      <w:pPr>
        <w:spacing w:after="140" w:before="0"/>
        <w:jc w:val="left"/>
      </w:pPr>
      <w:r>
        <w:rPr>
          <w:rFonts w:ascii="Calibri" w:cs="Calibri" w:eastAsia="Calibri" w:hAnsi="Calibri"/>
          <w:b w:val="false"/>
          <w:bCs w:val="false"/>
          <w:sz w:val="22"/>
          <w:szCs w:val="22"/>
        </w:rPr>
        <w:t xml:space="preserve">This Information Memorandum ("IM") has been prepared by Stockqueen Technology Pty Ltd ("the Company") solely for the purpose of providing information to prospective investors in connection with a proposed private placement of shares.</w:t>
      </w:r>
    </w:p>
    <w:p>
      <w:pPr>
        <w:spacing w:after="140" w:before="0"/>
        <w:jc w:val="left"/>
      </w:pPr>
      <w:r>
        <w:rPr>
          <w:rFonts w:ascii="Calibri" w:cs="Calibri" w:eastAsia="Calibri" w:hAnsi="Calibri"/>
          <w:b/>
          <w:bCs/>
          <w:sz w:val="22"/>
          <w:szCs w:val="22"/>
        </w:rPr>
        <w:t xml:space="preserve">THIS DOCUMENT IS CONFIDENTIAL. It is intended solely for the recipient and must not be reproduced, distributed, or disclosed to any other person without the prior written consent of the Company.</w:t>
      </w:r>
    </w:p>
    <w:p>
      <w:pPr>
        <w:spacing w:after="140" w:before="0"/>
        <w:jc w:val="left"/>
      </w:pPr>
      <w:r>
        <w:rPr>
          <w:rFonts w:ascii="Calibri" w:cs="Calibri" w:eastAsia="Calibri" w:hAnsi="Calibri"/>
          <w:b w:val="false"/>
          <w:bCs w:val="false"/>
          <w:sz w:val="22"/>
          <w:szCs w:val="22"/>
        </w:rPr>
        <w:t xml:space="preserve">This document does not constitute a prospectus or product disclosure statement and has not been lodged with the Australian Securities and Investments Commission (ASIC). The offer to which this document relates is being made under one or more of the exemptions available under section 708 of the Corporations Act 2001 (Cth), including the small-scale personal offer exemption (maximum 20 investors / AUD $2,000,000 in any 12-month period).</w:t>
      </w:r>
    </w:p>
    <w:p>
      <w:pPr>
        <w:spacing w:after="140" w:before="0"/>
        <w:jc w:val="left"/>
      </w:pPr>
      <w:r>
        <w:rPr>
          <w:rFonts w:ascii="Calibri" w:cs="Calibri" w:eastAsia="Calibri" w:hAnsi="Calibri"/>
          <w:b w:val="false"/>
          <w:bCs w:val="false"/>
          <w:sz w:val="22"/>
          <w:szCs w:val="22"/>
        </w:rPr>
        <w:t xml:space="preserve">This document does not constitute financial product advice (general or personal) within the meaning of the Corporations Act 2001 (Cth). The Company does not hold an Australian Financial Services Licence (AFSL). Nothing in this document should be construed as a recommendation to acquire or dispose of any financial product. Prospective investors should seek independent financial, legal, and taxation advice before making any investment decision.</w:t>
      </w:r>
    </w:p>
    <w:p>
      <w:pPr>
        <w:spacing w:after="140" w:before="0"/>
        <w:jc w:val="left"/>
      </w:pPr>
      <w:r>
        <w:rPr>
          <w:rFonts w:ascii="Calibri" w:cs="Calibri" w:eastAsia="Calibri" w:hAnsi="Calibri"/>
          <w:b w:val="false"/>
          <w:bCs w:val="false"/>
          <w:sz w:val="22"/>
          <w:szCs w:val="22"/>
        </w:rPr>
        <w:t xml:space="preserve">Forward-Looking Statements: This IM contains forward-looking statements that involve risks, uncertainties, and assumptions. Actual results may differ materially from those described. Past performance and backtested/simulated results are not indicative of future returns.</w:t>
      </w:r>
    </w:p>
    <w:p>
      <w:pPr>
        <w:spacing w:after="140" w:before="0"/>
        <w:jc w:val="left"/>
      </w:pPr>
      <w:r>
        <w:rPr>
          <w:rFonts w:ascii="Calibri" w:cs="Calibri" w:eastAsia="Calibri" w:hAnsi="Calibri"/>
          <w:b w:val="false"/>
          <w:bCs w:val="false"/>
          <w:sz w:val="22"/>
          <w:szCs w:val="22"/>
        </w:rPr>
        <w:t xml:space="preserve">Investment Risk: Investment in early-stage companies is speculative and involves a high degree of risk. You may lose all or part of your investment. This offer is suitable only for investors who understand and are prepared to accept these risks.</w:t>
      </w:r>
    </w:p>
    <w:p>
      <w:r>
        <w:br w:type="page"/>
      </w:r>
    </w:p>
    <w:p>
      <w:pPr>
        <w:pStyle w:val="Heading1"/>
        <w:spacing w:after="120" w:before="240"/>
        <w:outlineLvl w:val="0"/>
      </w:pPr>
      <w:r>
        <w:rPr>
          <w:rFonts w:ascii="Calibri" w:cs="Calibri" w:eastAsia="Calibri" w:hAnsi="Calibri"/>
          <w:b/>
          <w:bCs/>
          <w:color w:val="1a2744"/>
          <w:sz w:val="28"/>
          <w:szCs w:val="28"/>
        </w:rPr>
        <w:t xml:space="preserve">Section 1: Executive Summary</w:t>
      </w:r>
    </w:p>
    <w:p>
      <w:pPr>
        <w:spacing w:after="140" w:before="0"/>
        <w:jc w:val="left"/>
      </w:pPr>
      <w:r>
        <w:rPr>
          <w:rFonts w:ascii="Calibri" w:cs="Calibri" w:eastAsia="Calibri" w:hAnsi="Calibri"/>
          <w:b w:val="false"/>
          <w:bCs w:val="false"/>
          <w:sz w:val="22"/>
          <w:szCs w:val="22"/>
        </w:rPr>
        <w:t xml:space="preserve">Stockqueen Technology Pty Ltd is an Australian fintech company building an AI-powered quantitative trading signal platform targeting the USD 4.7 billion global algorithmic trading software market, with a primary focus on retail Chinese-speaking investors across the Asia-Pacific region (Hong Kong, Taiwan, Singapore, Malaysia, Australia, New Zealand, Japan, and Korea).</w:t>
      </w:r>
    </w:p>
    <w:p>
      <w:pPr>
        <w:spacing w:after="140" w:before="0"/>
        <w:jc w:val="left"/>
      </w:pPr>
      <w:r>
        <w:rPr>
          <w:rFonts w:ascii="Calibri" w:cs="Calibri" w:eastAsia="Calibri" w:hAnsi="Calibri"/>
          <w:b w:val="false"/>
          <w:bCs w:val="false"/>
          <w:sz w:val="22"/>
          <w:szCs w:val="22"/>
        </w:rPr>
        <w:t xml:space="preserve">The Company's flagship product is a weekly trading signal newsletter powered by a proprietary multi-strategy quantitative engine (the "StockQueen V5 System") that has demonstrated a walk-forward validated Portfolio OOS Sharpe of 4.606 (V4+MR Dual Strategy) on U.S. equity markets over a 6-year out-of-sample period (2020–2025).</w:t>
      </w:r>
    </w:p>
    <w:p>
      <w:pPr>
        <w:spacing w:after="140" w:before="0"/>
        <w:jc w:val="left"/>
      </w:pPr>
      <w:r>
        <w:rPr>
          <w:rFonts w:ascii="Calibri" w:cs="Calibri" w:eastAsia="Calibri" w:hAnsi="Calibri"/>
          <w:b w:val="false"/>
          <w:bCs w:val="false"/>
          <w:sz w:val="22"/>
          <w:szCs w:val="22"/>
        </w:rPr>
        <w:t xml:space="preserve">The Company is raising USD $500,000 at a pre-money valuation of USD $6,000,000 (post-money: USD $6,500,000), representing approximately 7.69% equity.</w:t>
      </w:r>
    </w:p>
    <w:p>
      <w:pPr>
        <w:spacing w:after="60" w:before="0"/>
        <w:jc w:val="left"/>
      </w:pPr>
      <w:r>
        <w:rPr>
          <w:rFonts w:ascii="Calibri" w:cs="Calibri" w:eastAsia="Calibri" w:hAnsi="Calibri"/>
          <w:b/>
          <w:bCs/>
          <w:sz w:val="22"/>
          <w:szCs w:val="22"/>
        </w:rPr>
        <w:t xml:space="preserve">Key Highlights:</w:t>
      </w:r>
    </w:p>
    <w:p>
      <w:pPr>
        <w:spacing w:after="80"/>
        <w:ind w:left="360" w:hanging="240"/>
      </w:pPr>
      <w:r>
        <w:rPr>
          <w:rFonts w:ascii="Calibri" w:cs="Calibri" w:eastAsia="Calibri" w:hAnsi="Calibri"/>
          <w:b w:val="false"/>
          <w:bCs w:val="false"/>
          <w:sz w:val="22"/>
          <w:szCs w:val="22"/>
        </w:rPr>
        <w:t>-  Proprietary 3-strategy quantitative engine: Portfolio avg OOS Sharpe 4.606 / 6-yr CAGR 13.9% / +118.0% cumulative (V4+MR Dual Strategy, walk-forward validated)</w:t>
      </w:r>
    </w:p>
    <w:p>
      <w:pPr>
        <w:spacing w:after="80"/>
        <w:ind w:left="360" w:hanging="240"/>
      </w:pPr>
      <w:r>
        <w:rPr>
          <w:rFonts w:ascii="Calibri" w:cs="Calibri" w:eastAsia="Calibri" w:hAnsi="Calibri"/>
          <w:b w:val="false"/>
          <w:bCs w:val="false"/>
          <w:sz w:val="22"/>
          <w:szCs w:val="22"/>
        </w:rPr>
        <w:t>-  Live paper trading since March 2026 via Tiger Brokers API, preparing for live capital deployment</w:t>
      </w:r>
    </w:p>
    <w:p>
      <w:pPr>
        <w:spacing w:after="80"/>
        <w:ind w:left="360" w:hanging="240"/>
      </w:pPr>
      <w:r>
        <w:rPr>
          <w:rFonts w:ascii="Calibri" w:cs="Calibri" w:eastAsia="Calibri" w:hAnsi="Calibri"/>
          <w:b w:val="false"/>
          <w:bCs w:val="false"/>
          <w:sz w:val="22"/>
          <w:szCs w:val="22"/>
        </w:rPr>
        <w:t>-  Fully built production infrastructure: Render, Supabase, Alpha Vantage  -  all live</w:t>
      </w:r>
    </w:p>
    <w:p>
      <w:pPr>
        <w:spacing w:after="80"/>
        <w:ind w:left="360" w:hanging="240"/>
      </w:pPr>
      <w:r>
        <w:rPr>
          <w:rFonts w:ascii="Calibri" w:cs="Calibri" w:eastAsia="Calibri" w:hAnsi="Calibri"/>
          <w:b w:val="false"/>
          <w:bCs w:val="false"/>
          <w:sz w:val="22"/>
          <w:szCs w:val="22"/>
        </w:rPr>
        <w:t>-  Revenue model: Free newsletter + USD $49/month paid signals tier</w:t>
      </w:r>
    </w:p>
    <w:p>
      <w:pPr>
        <w:spacing w:after="80"/>
        <w:ind w:left="360" w:hanging="240"/>
      </w:pPr>
      <w:r>
        <w:rPr>
          <w:rFonts w:ascii="Calibri" w:cs="Calibri" w:eastAsia="Calibri" w:hAnsi="Calibri"/>
          <w:b w:val="false"/>
          <w:bCs w:val="false"/>
          <w:sz w:val="22"/>
          <w:szCs w:val="22"/>
        </w:rPr>
        <w:t>-  Target market: 50M+ Chinese-speaking APAC retail investors underserved by institutional tools</w:t>
      </w:r>
    </w:p>
    <w:p>
      <w:pPr>
        <w:spacing w:after="80"/>
        <w:ind w:left="360" w:hanging="240"/>
      </w:pPr>
      <w:r>
        <w:rPr>
          <w:rFonts w:ascii="Calibri" w:cs="Calibri" w:eastAsia="Calibri" w:hAnsi="Calibri"/>
          <w:b w:val="false"/>
          <w:bCs w:val="false"/>
          <w:sz w:val="22"/>
          <w:szCs w:val="22"/>
        </w:rPr>
        <w:t>-  Founding team: Quantitative engineer (CEO) + Marketing and community growth leader (CMO)</w:t>
      </w:r>
    </w:p>
    <w:p>
      <w:pPr>
        <w:spacing w:after="160" w:before="0"/>
        <w:jc w:val="left"/>
      </w:pPr>
      <w:r>
        <w:rPr>
          <w:rFonts w:ascii="Calibri" w:cs="Calibri" w:eastAsia="Calibri" w:hAnsi="Calibri"/>
          <w:b w:val="false"/>
          <w:bCs w:val="false"/>
          <w:sz w:val="22"/>
          <w:szCs w:val="22"/>
        </w:rPr>
        <w:t xml:space="preserve"/>
      </w:r>
    </w:p>
    <w:p>
      <w:pPr>
        <w:spacing w:after="100" w:before="0"/>
        <w:jc w:val="left"/>
      </w:pPr>
      <w:r>
        <w:rPr>
          <w:rFonts w:ascii="Calibri" w:cs="Calibri" w:eastAsia="Calibri" w:hAnsi="Calibri"/>
          <w:b/>
          <w:bCs/>
          <w:color w:val="1a2744"/>
          <w:sz w:val="24"/>
          <w:szCs w:val="24"/>
        </w:rPr>
        <w:t xml:space="preserve">Fundraising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Item</w:t>
            </w:r>
          </w:p>
        </w:tc>
        <w:tc>
          <w:tcPr>
            <w:tcW w:type="dxa" w:w="656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Detail</w:t>
            </w:r>
          </w:p>
        </w:tc>
      </w:tr>
      <w:tr>
        <w:tc>
          <w:tcPr>
            <w:tcW w:type="dxa" w:w="28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Instrument</w:t>
            </w:r>
          </w:p>
        </w:tc>
        <w:tc>
          <w:tcPr>
            <w:tcW w:type="dxa" w:w="65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Ordinary Shares</w:t>
            </w:r>
          </w:p>
        </w:tc>
      </w:tr>
      <w:tr>
        <w:tc>
          <w:tcPr>
            <w:tcW w:type="dxa" w:w="2800"/>
            <w:tcMar>
              <w:top w:type="dxa" w:w="80"/>
              <w:left w:type="dxa" w:w="120"/>
              <w:bottom w:type="dxa" w:w="80"/>
              <w:right w:type="dxa" w:w="120"/>
            </w:tcMar>
            <w:vAlign w:val="top"/>
          </w:tcPr>
          <w:p>
            <w:r>
              <w:rPr>
                <w:rFonts w:ascii="Calibri" w:cs="Calibri" w:eastAsia="Calibri" w:hAnsi="Calibri"/>
                <w:b w:val="false"/>
                <w:bCs w:val="false"/>
                <w:sz w:val="20"/>
                <w:szCs w:val="20"/>
              </w:rPr>
              <w:t xml:space="preserve">Raise Amount</w:t>
            </w:r>
          </w:p>
        </w:tc>
        <w:tc>
          <w:tcPr>
            <w:tcW w:type="dxa" w:w="6560"/>
            <w:tcMar>
              <w:top w:type="dxa" w:w="80"/>
              <w:left w:type="dxa" w:w="120"/>
              <w:bottom w:type="dxa" w:w="80"/>
              <w:right w:type="dxa" w:w="120"/>
            </w:tcMar>
            <w:vAlign w:val="top"/>
          </w:tcPr>
          <w:p>
            <w:r>
              <w:rPr>
                <w:rFonts w:ascii="Calibri" w:cs="Calibri" w:eastAsia="Calibri" w:hAnsi="Calibri"/>
                <w:b w:val="false"/>
                <w:bCs w:val="false"/>
                <w:sz w:val="20"/>
                <w:szCs w:val="20"/>
              </w:rPr>
              <w:t xml:space="preserve">USD $500,000</w:t>
            </w:r>
          </w:p>
        </w:tc>
      </w:tr>
      <w:tr>
        <w:tc>
          <w:tcPr>
            <w:tcW w:type="dxa" w:w="28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Pre-Money Valuation</w:t>
            </w:r>
          </w:p>
        </w:tc>
        <w:tc>
          <w:tcPr>
            <w:tcW w:type="dxa" w:w="65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USD $6,000,000</w:t>
            </w:r>
          </w:p>
        </w:tc>
      </w:tr>
      <w:tr>
        <w:tc>
          <w:tcPr>
            <w:tcW w:type="dxa" w:w="2800"/>
            <w:tcMar>
              <w:top w:type="dxa" w:w="80"/>
              <w:left w:type="dxa" w:w="120"/>
              <w:bottom w:type="dxa" w:w="80"/>
              <w:right w:type="dxa" w:w="120"/>
            </w:tcMar>
            <w:vAlign w:val="top"/>
          </w:tcPr>
          <w:p>
            <w:r>
              <w:rPr>
                <w:rFonts w:ascii="Calibri" w:cs="Calibri" w:eastAsia="Calibri" w:hAnsi="Calibri"/>
                <w:b w:val="false"/>
                <w:bCs w:val="false"/>
                <w:sz w:val="20"/>
                <w:szCs w:val="20"/>
              </w:rPr>
              <w:t xml:space="preserve">Post-Money Valuation</w:t>
            </w:r>
          </w:p>
        </w:tc>
        <w:tc>
          <w:tcPr>
            <w:tcW w:type="dxa" w:w="6560"/>
            <w:tcMar>
              <w:top w:type="dxa" w:w="80"/>
              <w:left w:type="dxa" w:w="120"/>
              <w:bottom w:type="dxa" w:w="80"/>
              <w:right w:type="dxa" w:w="120"/>
            </w:tcMar>
            <w:vAlign w:val="top"/>
          </w:tcPr>
          <w:p>
            <w:r>
              <w:rPr>
                <w:rFonts w:ascii="Calibri" w:cs="Calibri" w:eastAsia="Calibri" w:hAnsi="Calibri"/>
                <w:b w:val="false"/>
                <w:bCs w:val="false"/>
                <w:sz w:val="20"/>
                <w:szCs w:val="20"/>
              </w:rPr>
              <w:t xml:space="preserve">USD $6,500,000</w:t>
            </w:r>
          </w:p>
        </w:tc>
      </w:tr>
      <w:tr>
        <w:tc>
          <w:tcPr>
            <w:tcW w:type="dxa" w:w="28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Equity Offered</w:t>
            </w:r>
          </w:p>
        </w:tc>
        <w:tc>
          <w:tcPr>
            <w:tcW w:type="dxa" w:w="65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~7.69%</w:t>
            </w:r>
          </w:p>
        </w:tc>
      </w:tr>
      <w:tr>
        <w:tc>
          <w:tcPr>
            <w:tcW w:type="dxa" w:w="2800"/>
            <w:tcMar>
              <w:top w:type="dxa" w:w="80"/>
              <w:left w:type="dxa" w:w="120"/>
              <w:bottom w:type="dxa" w:w="80"/>
              <w:right w:type="dxa" w:w="120"/>
            </w:tcMar>
            <w:vAlign w:val="top"/>
          </w:tcPr>
          <w:p>
            <w:r>
              <w:rPr>
                <w:rFonts w:ascii="Calibri" w:cs="Calibri" w:eastAsia="Calibri" w:hAnsi="Calibri"/>
                <w:b w:val="false"/>
                <w:bCs w:val="false"/>
                <w:sz w:val="20"/>
                <w:szCs w:val="20"/>
              </w:rPr>
              <w:t xml:space="preserve">Minimum Investment</w:t>
            </w:r>
          </w:p>
        </w:tc>
        <w:tc>
          <w:tcPr>
            <w:tcW w:type="dxa" w:w="6560"/>
            <w:tcMar>
              <w:top w:type="dxa" w:w="80"/>
              <w:left w:type="dxa" w:w="120"/>
              <w:bottom w:type="dxa" w:w="80"/>
              <w:right w:type="dxa" w:w="120"/>
            </w:tcMar>
            <w:vAlign w:val="top"/>
          </w:tcPr>
          <w:p>
            <w:r>
              <w:rPr>
                <w:rFonts w:ascii="Calibri" w:cs="Calibri" w:eastAsia="Calibri" w:hAnsi="Calibri"/>
                <w:b w:val="false"/>
                <w:bCs w:val="false"/>
                <w:sz w:val="20"/>
                <w:szCs w:val="20"/>
              </w:rPr>
              <w:t xml:space="preserve">USD $25,000</w:t>
            </w:r>
          </w:p>
        </w:tc>
      </w:tr>
      <w:tr>
        <w:tc>
          <w:tcPr>
            <w:tcW w:type="dxa" w:w="28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Entity</w:t>
            </w:r>
          </w:p>
        </w:tc>
        <w:tc>
          <w:tcPr>
            <w:tcW w:type="dxa" w:w="65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Stockqueen Technology Pty Ltd (to be incorporated)</w:t>
            </w:r>
          </w:p>
        </w:tc>
      </w:tr>
      <w:tr>
        <w:tc>
          <w:tcPr>
            <w:tcW w:type="dxa" w:w="2800"/>
            <w:tcMar>
              <w:top w:type="dxa" w:w="80"/>
              <w:left w:type="dxa" w:w="120"/>
              <w:bottom w:type="dxa" w:w="80"/>
              <w:right w:type="dxa" w:w="120"/>
            </w:tcMar>
            <w:vAlign w:val="top"/>
          </w:tcPr>
          <w:p>
            <w:r>
              <w:rPr>
                <w:rFonts w:ascii="Calibri" w:cs="Calibri" w:eastAsia="Calibri" w:hAnsi="Calibri"/>
                <w:b w:val="false"/>
                <w:bCs w:val="false"/>
                <w:sz w:val="20"/>
                <w:szCs w:val="20"/>
              </w:rPr>
              <w:t xml:space="preserve">Jurisdiction</w:t>
            </w:r>
          </w:p>
        </w:tc>
        <w:tc>
          <w:tcPr>
            <w:tcW w:type="dxa" w:w="6560"/>
            <w:tcMar>
              <w:top w:type="dxa" w:w="80"/>
              <w:left w:type="dxa" w:w="120"/>
              <w:bottom w:type="dxa" w:w="80"/>
              <w:right w:type="dxa" w:w="120"/>
            </w:tcMar>
            <w:vAlign w:val="top"/>
          </w:tcPr>
          <w:p>
            <w:r>
              <w:rPr>
                <w:rFonts w:ascii="Calibri" w:cs="Calibri" w:eastAsia="Calibri" w:hAnsi="Calibri"/>
                <w:b w:val="false"/>
                <w:bCs w:val="false"/>
                <w:sz w:val="20"/>
                <w:szCs w:val="20"/>
              </w:rPr>
              <w:t xml:space="preserve">Australia</w:t>
            </w:r>
          </w:p>
        </w:tc>
      </w:tr>
    </w:tbl>
    <w:p>
      <w:r>
        <w:br w:type="page"/>
      </w:r>
    </w:p>
    <w:p>
      <w:pPr>
        <w:pStyle w:val="Heading1"/>
        <w:spacing w:after="120" w:before="240"/>
        <w:outlineLvl w:val="0"/>
      </w:pPr>
      <w:r>
        <w:rPr>
          <w:rFonts w:ascii="Calibri" w:cs="Calibri" w:eastAsia="Calibri" w:hAnsi="Calibri"/>
          <w:b/>
          <w:bCs/>
          <w:color w:val="1a2744"/>
          <w:sz w:val="28"/>
          <w:szCs w:val="28"/>
        </w:rPr>
        <w:t xml:space="preserve">Section 2: The Problem &amp; Opportunity</w:t>
      </w:r>
    </w:p>
    <w:p>
      <w:pPr>
        <w:pStyle w:val="Heading2"/>
        <w:spacing w:after="100" w:before="200"/>
        <w:outlineLvl w:val="1"/>
      </w:pPr>
      <w:r>
        <w:rPr>
          <w:rFonts w:ascii="Calibri" w:cs="Calibri" w:eastAsia="Calibri" w:hAnsi="Calibri"/>
          <w:b/>
          <w:bCs/>
          <w:color w:val="1a2744"/>
          <w:sz w:val="24"/>
          <w:szCs w:val="24"/>
        </w:rPr>
        <w:t xml:space="preserve">2.1 The Problem</w:t>
      </w:r>
    </w:p>
    <w:p>
      <w:pPr>
        <w:spacing w:after="140" w:before="0"/>
        <w:jc w:val="left"/>
      </w:pPr>
      <w:r>
        <w:rPr>
          <w:rFonts w:ascii="Calibri" w:cs="Calibri" w:eastAsia="Calibri" w:hAnsi="Calibri"/>
          <w:b w:val="false"/>
          <w:bCs w:val="false"/>
          <w:sz w:val="22"/>
          <w:szCs w:val="22"/>
        </w:rPr>
        <w:t xml:space="preserve">Retail investors in Asia-Pacific face a fundamental disadvantage. The 50+ million Chinese-speaking retail investors across Hong Kong, Taiwan, Singapore, Malaysia, Australia, and New Zealand lack access to the systematic tools that institutional investors use as standard practice.</w:t>
      </w:r>
    </w:p>
    <w:p>
      <w:pPr>
        <w:spacing w:after="80"/>
        <w:ind w:left="360" w:hanging="240"/>
      </w:pPr>
      <w:r>
        <w:rPr>
          <w:rFonts w:ascii="Calibri" w:cs="Calibri" w:eastAsia="Calibri" w:hAnsi="Calibri"/>
          <w:b w:val="false"/>
          <w:bCs w:val="false"/>
          <w:sz w:val="22"/>
          <w:szCs w:val="22"/>
        </w:rPr>
        <w:t>-  No access to institutional tools: Quantitative strategies and factor models are almost exclusively available to hedge funds.</w:t>
      </w:r>
    </w:p>
    <w:p>
      <w:pPr>
        <w:spacing w:after="80"/>
        <w:ind w:left="360" w:hanging="240"/>
      </w:pPr>
      <w:r>
        <w:rPr>
          <w:rFonts w:ascii="Calibri" w:cs="Calibri" w:eastAsia="Calibri" w:hAnsi="Calibri"/>
          <w:b w:val="false"/>
          <w:bCs w:val="false"/>
          <w:sz w:val="22"/>
          <w:szCs w:val="22"/>
        </w:rPr>
        <w:t>-  Information asymmetry: Most retail investors rely on social media tips or broker research  -  none scientifically validated.</w:t>
      </w:r>
    </w:p>
    <w:p>
      <w:pPr>
        <w:spacing w:after="80"/>
        <w:ind w:left="360" w:hanging="240"/>
      </w:pPr>
      <w:r>
        <w:rPr>
          <w:rFonts w:ascii="Calibri" w:cs="Calibri" w:eastAsia="Calibri" w:hAnsi="Calibri"/>
          <w:b w:val="false"/>
          <w:bCs w:val="false"/>
          <w:sz w:val="22"/>
          <w:szCs w:val="22"/>
        </w:rPr>
        <w:t>-  Language barriers: The best quantitative research is in English; Chinese-language alternatives are superficial or unvalidated.</w:t>
      </w:r>
    </w:p>
    <w:p>
      <w:pPr>
        <w:spacing w:after="80"/>
        <w:ind w:left="360" w:hanging="240"/>
      </w:pPr>
      <w:r>
        <w:rPr>
          <w:rFonts w:ascii="Calibri" w:cs="Calibri" w:eastAsia="Calibri" w:hAnsi="Calibri"/>
          <w:b w:val="false"/>
          <w:bCs w:val="false"/>
          <w:sz w:val="22"/>
          <w:szCs w:val="22"/>
        </w:rPr>
        <w:t>-  Emotion-driven losses: Retail investors systematically underperform due to overtrading, recency bias, and panic selling.</w:t>
      </w:r>
    </w:p>
    <w:p>
      <w:pPr>
        <w:spacing w:after="120" w:before="0"/>
        <w:jc w:val="left"/>
      </w:pPr>
      <w:r>
        <w:rPr>
          <w:rFonts w:ascii="Calibri" w:cs="Calibri" w:eastAsia="Calibri" w:hAnsi="Calibri"/>
          <w:b w:val="false"/>
          <w:bCs w:val="false"/>
          <w:sz w:val="22"/>
          <w:szCs w:val="22"/>
        </w:rPr>
        <w:t xml:space="preserve"/>
      </w:r>
    </w:p>
    <w:p>
      <w:pPr>
        <w:pStyle w:val="Heading2"/>
        <w:spacing w:after="100" w:before="200"/>
        <w:outlineLvl w:val="1"/>
      </w:pPr>
      <w:r>
        <w:rPr>
          <w:rFonts w:ascii="Calibri" w:cs="Calibri" w:eastAsia="Calibri" w:hAnsi="Calibri"/>
          <w:b/>
          <w:bCs/>
          <w:color w:val="1a2744"/>
          <w:sz w:val="24"/>
          <w:szCs w:val="24"/>
        </w:rPr>
        <w:t xml:space="preserve">2.2 The Opportunity</w:t>
      </w:r>
    </w:p>
    <w:p>
      <w:pPr>
        <w:spacing w:after="140" w:before="0"/>
        <w:jc w:val="left"/>
      </w:pPr>
      <w:r>
        <w:rPr>
          <w:rFonts w:ascii="Calibri" w:cs="Calibri" w:eastAsia="Calibri" w:hAnsi="Calibri"/>
          <w:b w:val="false"/>
          <w:bCs w:val="false"/>
          <w:sz w:val="22"/>
          <w:szCs w:val="22"/>
        </w:rPr>
        <w:t xml:space="preserve">The global algorithmic trading market was valued at USD 4.7 billion in 2024, projected to grow at 13.4% CAGR through 2030. Within the APAC Chinese-speaking demographic, penetration of systematic advisory services is below 1% despite a combined investable asset pool exceeding USD 8 trillion.</w:t>
      </w:r>
    </w:p>
    <w:p>
      <w:r>
        <w:br w:type="page"/>
      </w:r>
    </w:p>
    <w:p>
      <w:pPr>
        <w:pStyle w:val="Heading1"/>
        <w:spacing w:after="120" w:before="240"/>
        <w:outlineLvl w:val="0"/>
      </w:pPr>
      <w:r>
        <w:rPr>
          <w:rFonts w:ascii="Calibri" w:cs="Calibri" w:eastAsia="Calibri" w:hAnsi="Calibri"/>
          <w:b/>
          <w:bCs/>
          <w:color w:val="1a2744"/>
          <w:sz w:val="28"/>
          <w:szCs w:val="28"/>
        </w:rPr>
        <w:t xml:space="preserve">Section 3: Product &amp; Technology</w:t>
      </w:r>
    </w:p>
    <w:p>
      <w:pPr>
        <w:pStyle w:val="Heading2"/>
        <w:spacing w:after="100" w:before="200"/>
        <w:outlineLvl w:val="1"/>
      </w:pPr>
      <w:r>
        <w:rPr>
          <w:rFonts w:ascii="Calibri" w:cs="Calibri" w:eastAsia="Calibri" w:hAnsi="Calibri"/>
          <w:b/>
          <w:bCs/>
          <w:color w:val="1a2744"/>
          <w:sz w:val="24"/>
          <w:szCs w:val="24"/>
        </w:rPr>
        <w:t xml:space="preserve">3.1 The StockQueen V5 System</w:t>
      </w:r>
    </w:p>
    <w:p>
      <w:pPr>
        <w:spacing w:after="140" w:before="0"/>
        <w:jc w:val="left"/>
      </w:pPr>
      <w:r>
        <w:rPr>
          <w:rFonts w:ascii="Calibri" w:cs="Calibri" w:eastAsia="Calibri" w:hAnsi="Calibri"/>
          <w:b w:val="false"/>
          <w:bCs w:val="false"/>
          <w:sz w:val="22"/>
          <w:szCs w:val="22"/>
        </w:rPr>
        <w:t xml:space="preserve">The V5 System is a production-deployed, multi-strategy quantitative engine. It combines three complementary strategies coordinated by a market regime detection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200"/>
        <w:gridCol w:w="5160"/>
      </w:tblGrid>
      <w:tr>
        <w:tc>
          <w:tcPr>
            <w:tcW w:type="dxa" w:w="200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Strategy</w:t>
            </w:r>
          </w:p>
        </w:tc>
        <w:tc>
          <w:tcPr>
            <w:tcW w:type="dxa" w:w="100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Weight</w:t>
            </w:r>
          </w:p>
        </w:tc>
        <w:tc>
          <w:tcPr>
            <w:tcW w:type="dxa" w:w="120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Frequency</w:t>
            </w:r>
          </w:p>
        </w:tc>
        <w:tc>
          <w:tcPr>
            <w:tcW w:type="dxa" w:w="516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Description</w:t>
            </w:r>
          </w:p>
        </w:tc>
      </w:tr>
      <w:tr>
        <w:tc>
          <w:tcPr>
            <w:tcW w:type="dxa" w:w="2000"/>
            <w:tcMar>
              <w:top w:type="dxa" w:w="80"/>
              <w:left w:type="dxa" w:w="120"/>
              <w:bottom w:type="dxa" w:w="80"/>
              <w:right w:type="dxa" w:w="120"/>
            </w:tcMar>
            <w:vAlign w:val="top"/>
          </w:tcPr>
          <w:p>
            <w:r>
              <w:rPr>
                <w:rFonts w:ascii="Calibri" w:cs="Calibri" w:eastAsia="Calibri" w:hAnsi="Calibri"/>
                <w:b w:val="false"/>
                <w:bCs w:val="false"/>
                <w:sz w:val="20"/>
                <w:szCs w:val="20"/>
              </w:rPr>
              <w:t xml:space="preserve">Trend Momentum (V4)</w:t>
            </w:r>
          </w:p>
        </w:tc>
        <w:tc>
          <w:tcPr>
            <w:tcW w:type="dxa" w:w="1000"/>
            <w:tcMar>
              <w:top w:type="dxa" w:w="80"/>
              <w:left w:type="dxa" w:w="120"/>
              <w:bottom w:type="dxa" w:w="80"/>
              <w:right w:type="dxa" w:w="120"/>
            </w:tcMar>
            <w:vAlign w:val="top"/>
          </w:tcPr>
          <w:p>
            <w:r>
              <w:rPr>
                <w:rFonts w:ascii="Calibri" w:cs="Calibri" w:eastAsia="Calibri" w:hAnsi="Calibri"/>
                <w:b w:val="false"/>
                <w:bCs w:val="false"/>
                <w:sz w:val="20"/>
                <w:szCs w:val="20"/>
              </w:rPr>
              <w:t xml:space="preserve">60-70%</w:t>
            </w:r>
          </w:p>
        </w:tc>
        <w:tc>
          <w:tcPr>
            <w:tcW w:type="dxa" w:w="1200"/>
            <w:tcMar>
              <w:top w:type="dxa" w:w="80"/>
              <w:left w:type="dxa" w:w="120"/>
              <w:bottom w:type="dxa" w:w="80"/>
              <w:right w:type="dxa" w:w="120"/>
            </w:tcMar>
            <w:vAlign w:val="top"/>
          </w:tcPr>
          <w:p>
            <w:r>
              <w:rPr>
                <w:rFonts w:ascii="Calibri" w:cs="Calibri" w:eastAsia="Calibri" w:hAnsi="Calibri"/>
                <w:b w:val="false"/>
                <w:bCs w:val="false"/>
                <w:sz w:val="20"/>
                <w:szCs w:val="20"/>
              </w:rPr>
              <w:t xml:space="preserve">Weekly</w:t>
            </w:r>
          </w:p>
        </w:tc>
        <w:tc>
          <w:tcPr>
            <w:tcW w:type="dxa" w:w="5160"/>
            <w:tcMar>
              <w:top w:type="dxa" w:w="80"/>
              <w:left w:type="dxa" w:w="120"/>
              <w:bottom w:type="dxa" w:w="80"/>
              <w:right w:type="dxa" w:w="120"/>
            </w:tcMar>
            <w:vAlign w:val="top"/>
          </w:tcPr>
          <w:p>
            <w:r>
              <w:rPr>
                <w:rFonts w:ascii="Calibri" w:cs="Calibri" w:eastAsia="Calibri" w:hAnsi="Calibri"/>
                <w:b w:val="false"/>
                <w:bCs w:val="false"/>
                <w:sz w:val="20"/>
                <w:szCs w:val="20"/>
              </w:rPr>
              <w:t xml:space="preserve">9-factor scoring across 500+ U.S. equities</w:t>
            </w:r>
          </w:p>
        </w:tc>
      </w:tr>
      <w:tr>
        <w:tc>
          <w:tcPr>
            <w:tcW w:type="dxa" w:w="20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Mean Reversion (MR)</w:t>
            </w:r>
          </w:p>
        </w:tc>
        <w:tc>
          <w:tcPr>
            <w:tcW w:type="dxa" w:w="10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0-50%</w:t>
            </w:r>
          </w:p>
        </w:tc>
        <w:tc>
          <w:tcPr>
            <w:tcW w:type="dxa" w:w="12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Daily</w:t>
            </w:r>
          </w:p>
        </w:tc>
        <w:tc>
          <w:tcPr>
            <w:tcW w:type="dxa" w:w="51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RSI + Bollinger Band oversold detection</w:t>
            </w:r>
          </w:p>
        </w:tc>
      </w:tr>
      <w:tr>
        <w:tc>
          <w:tcPr>
            <w:tcW w:type="dxa" w:w="2000"/>
            <w:tcMar>
              <w:top w:type="dxa" w:w="80"/>
              <w:left w:type="dxa" w:w="120"/>
              <w:bottom w:type="dxa" w:w="80"/>
              <w:right w:type="dxa" w:w="120"/>
            </w:tcMar>
            <w:vAlign w:val="top"/>
          </w:tcPr>
          <w:p>
            <w:r>
              <w:rPr>
                <w:rFonts w:ascii="Calibri" w:cs="Calibri" w:eastAsia="Calibri" w:hAnsi="Calibri"/>
                <w:b w:val="false"/>
                <w:bCs w:val="false"/>
                <w:sz w:val="20"/>
                <w:szCs w:val="20"/>
              </w:rPr>
              <w:t xml:space="preserve">Event-Driven (ED)</w:t>
            </w:r>
          </w:p>
        </w:tc>
        <w:tc>
          <w:tcPr>
            <w:tcW w:type="dxa" w:w="1000"/>
            <w:tcMar>
              <w:top w:type="dxa" w:w="80"/>
              <w:left w:type="dxa" w:w="120"/>
              <w:bottom w:type="dxa" w:w="80"/>
              <w:right w:type="dxa" w:w="120"/>
            </w:tcMar>
            <w:vAlign w:val="top"/>
          </w:tcPr>
          <w:p>
            <w:r>
              <w:rPr>
                <w:rFonts w:ascii="Calibri" w:cs="Calibri" w:eastAsia="Calibri" w:hAnsi="Calibri"/>
                <w:b w:val="false"/>
                <w:bCs w:val="false"/>
                <w:sz w:val="20"/>
                <w:szCs w:val="20"/>
              </w:rPr>
              <w:t xml:space="preserve">20-30%</w:t>
            </w:r>
          </w:p>
        </w:tc>
        <w:tc>
          <w:tcPr>
            <w:tcW w:type="dxa" w:w="1200"/>
            <w:tcMar>
              <w:top w:type="dxa" w:w="80"/>
              <w:left w:type="dxa" w:w="120"/>
              <w:bottom w:type="dxa" w:w="80"/>
              <w:right w:type="dxa" w:w="120"/>
            </w:tcMar>
            <w:vAlign w:val="top"/>
          </w:tcPr>
          <w:p>
            <w:r>
              <w:rPr>
                <w:rFonts w:ascii="Calibri" w:cs="Calibri" w:eastAsia="Calibri" w:hAnsi="Calibri"/>
                <w:b w:val="false"/>
                <w:bCs w:val="false"/>
                <w:sz w:val="20"/>
                <w:szCs w:val="20"/>
              </w:rPr>
              <w:t xml:space="preserve">Daily</w:t>
            </w:r>
          </w:p>
        </w:tc>
        <w:tc>
          <w:tcPr>
            <w:tcW w:type="dxa" w:w="5160"/>
            <w:tcMar>
              <w:top w:type="dxa" w:w="80"/>
              <w:left w:type="dxa" w:w="120"/>
              <w:bottom w:type="dxa" w:w="80"/>
              <w:right w:type="dxa" w:w="120"/>
            </w:tcMar>
            <w:vAlign w:val="top"/>
          </w:tcPr>
          <w:p>
            <w:r>
              <w:rPr>
                <w:rFonts w:ascii="Calibri" w:cs="Calibri" w:eastAsia="Calibri" w:hAnsi="Calibri"/>
                <w:b w:val="false"/>
                <w:bCs w:val="false"/>
                <w:sz w:val="20"/>
                <w:szCs w:val="20"/>
              </w:rPr>
              <w:t xml:space="preserve">Pre-earnings catalyst plays</w:t>
            </w:r>
          </w:p>
        </w:tc>
      </w:tr>
    </w:tbl>
    <w:p>
      <w:pPr>
        <w:spacing w:after="160" w:before="0"/>
        <w:jc w:val="left"/>
      </w:pPr>
      <w:r>
        <w:rPr>
          <w:rFonts w:ascii="Calibri" w:cs="Calibri" w:eastAsia="Calibri" w:hAnsi="Calibri"/>
          <w:b w:val="false"/>
          <w:bCs w:val="false"/>
          <w:sz w:val="22"/>
          <w:szCs w:val="22"/>
        </w:rPr>
        <w:t xml:space="preserve"/>
      </w:r>
    </w:p>
    <w:p>
      <w:pPr>
        <w:pStyle w:val="Heading2"/>
        <w:spacing w:after="100" w:before="200"/>
        <w:outlineLvl w:val="1"/>
      </w:pPr>
      <w:r>
        <w:rPr>
          <w:rFonts w:ascii="Calibri" w:cs="Calibri" w:eastAsia="Calibri" w:hAnsi="Calibri"/>
          <w:b/>
          <w:bCs/>
          <w:color w:val="1a2744"/>
          <w:sz w:val="24"/>
          <w:szCs w:val="24"/>
        </w:rPr>
        <w:t xml:space="preserve">3.2 Market Regime System</w:t>
      </w:r>
    </w:p>
    <w:p>
      <w:pPr>
        <w:spacing w:after="140" w:before="0"/>
        <w:jc w:val="left"/>
      </w:pPr>
      <w:r>
        <w:rPr>
          <w:rFonts w:ascii="Calibri" w:cs="Calibri" w:eastAsia="Calibri" w:hAnsi="Calibri"/>
          <w:b w:val="false"/>
          <w:bCs w:val="false"/>
          <w:sz w:val="22"/>
          <w:szCs w:val="22"/>
        </w:rPr>
        <w:t xml:space="preserve">The regime system classifies market conditions into four states and dynamically adjusts strategy allocation and stock universe: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100"/>
        <w:gridCol w:w="1100"/>
        <w:gridCol w:w="4260"/>
      </w:tblGrid>
      <w:tr>
        <w:tc>
          <w:tcPr>
            <w:tcW w:type="dxa" w:w="180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Regime</w:t>
            </w:r>
          </w:p>
        </w:tc>
        <w:tc>
          <w:tcPr>
            <w:tcW w:type="dxa" w:w="110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V4 Trend</w:t>
            </w:r>
          </w:p>
        </w:tc>
        <w:tc>
          <w:tcPr>
            <w:tcW w:type="dxa" w:w="110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MR</w:t>
            </w:r>
          </w:p>
        </w:tc>
        <w:tc>
          <w:tcPr>
            <w:tcW w:type="dxa" w:w="110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ED</w:t>
            </w:r>
          </w:p>
        </w:tc>
        <w:tc>
          <w:tcPr>
            <w:tcW w:type="dxa" w:w="426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Universe</w:t>
            </w:r>
          </w:p>
        </w:tc>
      </w:tr>
      <w:tr>
        <w:tc>
          <w:tcPr>
            <w:tcW w:type="dxa" w:w="1800"/>
            <w:tcMar>
              <w:top w:type="dxa" w:w="80"/>
              <w:left w:type="dxa" w:w="120"/>
              <w:bottom w:type="dxa" w:w="80"/>
              <w:right w:type="dxa" w:w="120"/>
            </w:tcMar>
            <w:vAlign w:val="top"/>
          </w:tcPr>
          <w:p>
            <w:r>
              <w:rPr>
                <w:rFonts w:ascii="Calibri" w:cs="Calibri" w:eastAsia="Calibri" w:hAnsi="Calibri"/>
                <w:b w:val="false"/>
                <w:bCs w:val="false"/>
                <w:sz w:val="20"/>
                <w:szCs w:val="20"/>
              </w:rPr>
              <w:t xml:space="preserve">Strong Bull</w:t>
            </w:r>
          </w:p>
        </w:tc>
        <w:tc>
          <w:tcPr>
            <w:tcW w:type="dxa" w:w="1100"/>
            <w:tcMar>
              <w:top w:type="dxa" w:w="80"/>
              <w:left w:type="dxa" w:w="120"/>
              <w:bottom w:type="dxa" w:w="80"/>
              <w:right w:type="dxa" w:w="120"/>
            </w:tcMar>
            <w:vAlign w:val="top"/>
          </w:tcPr>
          <w:p>
            <w:r>
              <w:rPr>
                <w:rFonts w:ascii="Calibri" w:cs="Calibri" w:eastAsia="Calibri" w:hAnsi="Calibri"/>
                <w:b w:val="false"/>
                <w:bCs w:val="false"/>
                <w:sz w:val="20"/>
                <w:szCs w:val="20"/>
              </w:rPr>
              <w:t xml:space="preserve">70%</w:t>
            </w:r>
          </w:p>
        </w:tc>
        <w:tc>
          <w:tcPr>
            <w:tcW w:type="dxa" w:w="1100"/>
            <w:tcMar>
              <w:top w:type="dxa" w:w="80"/>
              <w:left w:type="dxa" w:w="120"/>
              <w:bottom w:type="dxa" w:w="80"/>
              <w:right w:type="dxa" w:w="120"/>
            </w:tcMar>
            <w:vAlign w:val="top"/>
          </w:tcPr>
          <w:p>
            <w:r>
              <w:rPr>
                <w:rFonts w:ascii="Calibri" w:cs="Calibri" w:eastAsia="Calibri" w:hAnsi="Calibri"/>
                <w:b w:val="false"/>
                <w:bCs w:val="false"/>
                <w:sz w:val="20"/>
                <w:szCs w:val="20"/>
              </w:rPr>
              <w:t xml:space="preserve">0%</w:t>
            </w:r>
          </w:p>
        </w:tc>
        <w:tc>
          <w:tcPr>
            <w:tcW w:type="dxa" w:w="1100"/>
            <w:tcMar>
              <w:top w:type="dxa" w:w="80"/>
              <w:left w:type="dxa" w:w="120"/>
              <w:bottom w:type="dxa" w:w="80"/>
              <w:right w:type="dxa" w:w="120"/>
            </w:tcMar>
            <w:vAlign w:val="top"/>
          </w:tcPr>
          <w:p>
            <w:r>
              <w:rPr>
                <w:rFonts w:ascii="Calibri" w:cs="Calibri" w:eastAsia="Calibri" w:hAnsi="Calibri"/>
                <w:b w:val="false"/>
                <w:bCs w:val="false"/>
                <w:sz w:val="20"/>
                <w:szCs w:val="20"/>
              </w:rPr>
              <w:t xml:space="preserve">30%</w:t>
            </w:r>
          </w:p>
        </w:tc>
        <w:tc>
          <w:tcPr>
            <w:tcW w:type="dxa" w:w="4260"/>
            <w:tcMar>
              <w:top w:type="dxa" w:w="80"/>
              <w:left w:type="dxa" w:w="120"/>
              <w:bottom w:type="dxa" w:w="80"/>
              <w:right w:type="dxa" w:w="120"/>
            </w:tcMar>
            <w:vAlign w:val="top"/>
          </w:tcPr>
          <w:p>
            <w:r>
              <w:rPr>
                <w:rFonts w:ascii="Calibri" w:cs="Calibri" w:eastAsia="Calibri" w:hAnsi="Calibri"/>
                <w:b w:val="false"/>
                <w:bCs w:val="false"/>
                <w:sz w:val="20"/>
                <w:szCs w:val="20"/>
              </w:rPr>
              <w:t xml:space="preserve">Aggressive ETFs + Large Cap</w:t>
            </w:r>
          </w:p>
        </w:tc>
      </w:tr>
      <w:tr>
        <w:tc>
          <w:tcPr>
            <w:tcW w:type="dxa" w:w="18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Bull</w:t>
            </w:r>
          </w:p>
        </w:tc>
        <w:tc>
          <w:tcPr>
            <w:tcW w:type="dxa" w:w="11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60%</w:t>
            </w:r>
          </w:p>
        </w:tc>
        <w:tc>
          <w:tcPr>
            <w:tcW w:type="dxa" w:w="11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10%</w:t>
            </w:r>
          </w:p>
        </w:tc>
        <w:tc>
          <w:tcPr>
            <w:tcW w:type="dxa" w:w="11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30%</w:t>
            </w:r>
          </w:p>
        </w:tc>
        <w:tc>
          <w:tcPr>
            <w:tcW w:type="dxa" w:w="42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Aggressive ETFs + Large/Mid Cap</w:t>
            </w:r>
          </w:p>
        </w:tc>
      </w:tr>
      <w:tr>
        <w:tc>
          <w:tcPr>
            <w:tcW w:type="dxa" w:w="1800"/>
            <w:tcMar>
              <w:top w:type="dxa" w:w="80"/>
              <w:left w:type="dxa" w:w="120"/>
              <w:bottom w:type="dxa" w:w="80"/>
              <w:right w:type="dxa" w:w="120"/>
            </w:tcMar>
            <w:vAlign w:val="top"/>
          </w:tcPr>
          <w:p>
            <w:r>
              <w:rPr>
                <w:rFonts w:ascii="Calibri" w:cs="Calibri" w:eastAsia="Calibri" w:hAnsi="Calibri"/>
                <w:b w:val="false"/>
                <w:bCs w:val="false"/>
                <w:sz w:val="20"/>
                <w:szCs w:val="20"/>
              </w:rPr>
              <w:t xml:space="preserve">Choppy</w:t>
            </w:r>
          </w:p>
        </w:tc>
        <w:tc>
          <w:tcPr>
            <w:tcW w:type="dxa" w:w="1100"/>
            <w:tcMar>
              <w:top w:type="dxa" w:w="80"/>
              <w:left w:type="dxa" w:w="120"/>
              <w:bottom w:type="dxa" w:w="80"/>
              <w:right w:type="dxa" w:w="120"/>
            </w:tcMar>
            <w:vAlign w:val="top"/>
          </w:tcPr>
          <w:p>
            <w:r>
              <w:rPr>
                <w:rFonts w:ascii="Calibri" w:cs="Calibri" w:eastAsia="Calibri" w:hAnsi="Calibri"/>
                <w:b w:val="false"/>
                <w:bCs w:val="false"/>
                <w:sz w:val="20"/>
                <w:szCs w:val="20"/>
              </w:rPr>
              <w:t xml:space="preserve">30%</w:t>
            </w:r>
          </w:p>
        </w:tc>
        <w:tc>
          <w:tcPr>
            <w:tcW w:type="dxa" w:w="1100"/>
            <w:tcMar>
              <w:top w:type="dxa" w:w="80"/>
              <w:left w:type="dxa" w:w="120"/>
              <w:bottom w:type="dxa" w:w="80"/>
              <w:right w:type="dxa" w:w="120"/>
            </w:tcMar>
            <w:vAlign w:val="top"/>
          </w:tcPr>
          <w:p>
            <w:r>
              <w:rPr>
                <w:rFonts w:ascii="Calibri" w:cs="Calibri" w:eastAsia="Calibri" w:hAnsi="Calibri"/>
                <w:b w:val="false"/>
                <w:bCs w:val="false"/>
                <w:sz w:val="20"/>
                <w:szCs w:val="20"/>
              </w:rPr>
              <w:t xml:space="preserve">50%</w:t>
            </w:r>
          </w:p>
        </w:tc>
        <w:tc>
          <w:tcPr>
            <w:tcW w:type="dxa" w:w="1100"/>
            <w:tcMar>
              <w:top w:type="dxa" w:w="80"/>
              <w:left w:type="dxa" w:w="120"/>
              <w:bottom w:type="dxa" w:w="80"/>
              <w:right w:type="dxa" w:w="120"/>
            </w:tcMar>
            <w:vAlign w:val="top"/>
          </w:tcPr>
          <w:p>
            <w:r>
              <w:rPr>
                <w:rFonts w:ascii="Calibri" w:cs="Calibri" w:eastAsia="Calibri" w:hAnsi="Calibri"/>
                <w:b w:val="false"/>
                <w:bCs w:val="false"/>
                <w:sz w:val="20"/>
                <w:szCs w:val="20"/>
              </w:rPr>
              <w:t xml:space="preserve">20%</w:t>
            </w:r>
          </w:p>
        </w:tc>
        <w:tc>
          <w:tcPr>
            <w:tcW w:type="dxa" w:w="4260"/>
            <w:tcMar>
              <w:top w:type="dxa" w:w="80"/>
              <w:left w:type="dxa" w:w="120"/>
              <w:bottom w:type="dxa" w:w="80"/>
              <w:right w:type="dxa" w:w="120"/>
            </w:tcMar>
            <w:vAlign w:val="top"/>
          </w:tcPr>
          <w:p>
            <w:r>
              <w:rPr>
                <w:rFonts w:ascii="Calibri" w:cs="Calibri" w:eastAsia="Calibri" w:hAnsi="Calibri"/>
                <w:b w:val="false"/>
                <w:bCs w:val="false"/>
                <w:sz w:val="20"/>
                <w:szCs w:val="20"/>
              </w:rPr>
              <w:t xml:space="preserve">Defensive ETFs + Aggressive ETFs</w:t>
            </w:r>
          </w:p>
        </w:tc>
      </w:tr>
      <w:tr>
        <w:tc>
          <w:tcPr>
            <w:tcW w:type="dxa" w:w="18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Bear</w:t>
            </w:r>
          </w:p>
        </w:tc>
        <w:tc>
          <w:tcPr>
            <w:tcW w:type="dxa" w:w="11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20%</w:t>
            </w:r>
          </w:p>
        </w:tc>
        <w:tc>
          <w:tcPr>
            <w:tcW w:type="dxa" w:w="11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0%</w:t>
            </w:r>
          </w:p>
        </w:tc>
        <w:tc>
          <w:tcPr>
            <w:tcW w:type="dxa" w:w="11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30%</w:t>
            </w:r>
          </w:p>
        </w:tc>
        <w:tc>
          <w:tcPr>
            <w:tcW w:type="dxa" w:w="42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Defensive ETFs + Inverse ETFs (50% cash)</w:t>
            </w:r>
          </w:p>
        </w:tc>
      </w:tr>
    </w:tbl>
    <w:p>
      <w:pPr>
        <w:spacing w:after="160" w:before="0"/>
        <w:jc w:val="left"/>
      </w:pPr>
      <w:r>
        <w:rPr>
          <w:rFonts w:ascii="Calibri" w:cs="Calibri" w:eastAsia="Calibri" w:hAnsi="Calibri"/>
          <w:b w:val="false"/>
          <w:bCs w:val="false"/>
          <w:sz w:val="22"/>
          <w:szCs w:val="22"/>
        </w:rPr>
        <w:t xml:space="preserve"/>
      </w:r>
    </w:p>
    <w:p>
      <w:pPr>
        <w:pStyle w:val="Heading2"/>
        <w:spacing w:after="100" w:before="200"/>
        <w:outlineLvl w:val="1"/>
      </w:pPr>
      <w:r>
        <w:rPr>
          <w:rFonts w:ascii="Calibri" w:cs="Calibri" w:eastAsia="Calibri" w:hAnsi="Calibri"/>
          <w:b/>
          <w:bCs/>
          <w:color w:val="1a2744"/>
          <w:sz w:val="24"/>
          <w:szCs w:val="24"/>
        </w:rPr>
        <w:t xml:space="preserve">3.3 AI / Machine Learning Layer</w:t>
      </w:r>
    </w:p>
    <w:p>
      <w:pPr>
        <w:spacing w:after="140" w:before="0"/>
        <w:jc w:val="left"/>
      </w:pPr>
      <w:r>
        <w:rPr>
          <w:rFonts w:ascii="Calibri" w:cs="Calibri" w:eastAsia="Calibri" w:hAnsi="Calibri"/>
          <w:b w:val="false"/>
          <w:bCs w:val="false"/>
          <w:sz w:val="22"/>
          <w:szCs w:val="22"/>
        </w:rPr>
        <w:t xml:space="preserve">ML-V3A is a Gradient Boosted Trees ranker trained with asymmetric labels (precision-optimised), incorporating 9 momentum and fundamental factors plus regime state. It refines final stock selection probability scores within each regime.</w:t>
      </w:r>
    </w:p>
    <w:p>
      <w:pPr>
        <w:pStyle w:val="Heading2"/>
        <w:spacing w:after="100" w:before="200"/>
        <w:outlineLvl w:val="1"/>
      </w:pPr>
      <w:r>
        <w:rPr>
          <w:rFonts w:ascii="Calibri" w:cs="Calibri" w:eastAsia="Calibri" w:hAnsi="Calibri"/>
          <w:b/>
          <w:bCs/>
          <w:color w:val="1a2744"/>
          <w:sz w:val="24"/>
          <w:szCs w:val="24"/>
        </w:rPr>
        <w:t xml:space="preserve">3.4 Risk Management</w:t>
      </w:r>
    </w:p>
    <w:p>
      <w:pPr>
        <w:spacing w:after="80"/>
        <w:ind w:left="360" w:hanging="240"/>
      </w:pPr>
      <w:r>
        <w:rPr>
          <w:rFonts w:ascii="Calibri" w:cs="Calibri" w:eastAsia="Calibri" w:hAnsi="Calibri"/>
          <w:b w:val="false"/>
          <w:bCs w:val="false"/>
          <w:sz w:val="22"/>
          <w:szCs w:val="22"/>
        </w:rPr>
        <w:t>-  ATR Hard Stop: 1.5x Average True Range trailing stop on all positions</w:t>
      </w:r>
    </w:p>
    <w:p>
      <w:pPr>
        <w:spacing w:after="80"/>
        <w:ind w:left="360" w:hanging="240"/>
      </w:pPr>
      <w:r>
        <w:rPr>
          <w:rFonts w:ascii="Calibri" w:cs="Calibri" w:eastAsia="Calibri" w:hAnsi="Calibri"/>
          <w:b w:val="false"/>
          <w:bCs w:val="false"/>
          <w:sz w:val="22"/>
          <w:szCs w:val="22"/>
        </w:rPr>
        <w:t>-  VIX Dynamic Reduction: Global position sizing reduced 15-30% when VIX exceeds 25 or 35</w:t>
      </w:r>
    </w:p>
    <w:p>
      <w:pPr>
        <w:spacing w:after="80"/>
        <w:ind w:left="360" w:hanging="240"/>
      </w:pPr>
      <w:r>
        <w:rPr>
          <w:rFonts w:ascii="Calibri" w:cs="Calibri" w:eastAsia="Calibri" w:hAnsi="Calibri"/>
          <w:b w:val="false"/>
          <w:bCs w:val="false"/>
          <w:sz w:val="22"/>
          <w:szCs w:val="22"/>
        </w:rPr>
        <w:t>-  Concentration Limits: Maximum sector exposure enforced at portfolio level</w:t>
      </w:r>
    </w:p>
    <w:p>
      <w:pPr>
        <w:spacing w:after="80"/>
        <w:ind w:left="360" w:hanging="240"/>
      </w:pPr>
      <w:r>
        <w:rPr>
          <w:rFonts w:ascii="Calibri" w:cs="Calibri" w:eastAsia="Calibri" w:hAnsi="Calibri"/>
          <w:b w:val="false"/>
          <w:bCs w:val="false"/>
          <w:sz w:val="22"/>
          <w:szCs w:val="22"/>
        </w:rPr>
        <w:t>-  Liquidity Filter: Minimum 500,000 average daily volume threshold</w:t>
      </w:r>
    </w:p>
    <w:p>
      <w:pPr>
        <w:spacing w:after="120" w:before="0"/>
        <w:jc w:val="left"/>
      </w:pPr>
      <w:r>
        <w:rPr>
          <w:rFonts w:ascii="Calibri" w:cs="Calibri" w:eastAsia="Calibri" w:hAnsi="Calibri"/>
          <w:b w:val="false"/>
          <w:bCs w:val="false"/>
          <w:sz w:val="22"/>
          <w:szCs w:val="22"/>
        </w:rPr>
        <w:t xml:space="preserve"/>
      </w:r>
    </w:p>
    <w:p>
      <w:pPr>
        <w:pStyle w:val="Heading2"/>
        <w:spacing w:after="100" w:before="200"/>
        <w:outlineLvl w:val="1"/>
      </w:pPr>
      <w:r>
        <w:rPr>
          <w:rFonts w:ascii="Calibri" w:cs="Calibri" w:eastAsia="Calibri" w:hAnsi="Calibri"/>
          <w:b/>
          <w:bCs/>
          <w:color w:val="1a2744"/>
          <w:sz w:val="24"/>
          <w:szCs w:val="24"/>
        </w:rPr>
        <w:t xml:space="preserve">3.5 Production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Component</w:t>
            </w:r>
          </w:p>
        </w:tc>
        <w:tc>
          <w:tcPr>
            <w:tcW w:type="dxa" w:w="260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Provider</w:t>
            </w:r>
          </w:p>
        </w:tc>
        <w:tc>
          <w:tcPr>
            <w:tcW w:type="dxa" w:w="396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Status</w:t>
            </w:r>
          </w:p>
        </w:tc>
      </w:tr>
      <w:tr>
        <w:tc>
          <w:tcPr>
            <w:tcW w:type="dxa" w:w="2800"/>
            <w:tcMar>
              <w:top w:type="dxa" w:w="80"/>
              <w:left w:type="dxa" w:w="120"/>
              <w:bottom w:type="dxa" w:w="80"/>
              <w:right w:type="dxa" w:w="120"/>
            </w:tcMar>
            <w:vAlign w:val="top"/>
          </w:tcPr>
          <w:p>
            <w:r>
              <w:rPr>
                <w:rFonts w:ascii="Calibri" w:cs="Calibri" w:eastAsia="Calibri" w:hAnsi="Calibri"/>
                <w:b w:val="false"/>
                <w:bCs w:val="false"/>
                <w:sz w:val="20"/>
                <w:szCs w:val="20"/>
              </w:rPr>
              <w:t xml:space="preserve">Backend API + Scheduler</w:t>
            </w:r>
          </w:p>
        </w:tc>
        <w:tc>
          <w:tcPr>
            <w:tcW w:type="dxa" w:w="2600"/>
            <w:tcMar>
              <w:top w:type="dxa" w:w="80"/>
              <w:left w:type="dxa" w:w="120"/>
              <w:bottom w:type="dxa" w:w="80"/>
              <w:right w:type="dxa" w:w="120"/>
            </w:tcMar>
            <w:vAlign w:val="top"/>
          </w:tcPr>
          <w:p>
            <w:r>
              <w:rPr>
                <w:rFonts w:ascii="Calibri" w:cs="Calibri" w:eastAsia="Calibri" w:hAnsi="Calibri"/>
                <w:b w:val="false"/>
                <w:bCs w:val="false"/>
                <w:sz w:val="20"/>
                <w:szCs w:val="20"/>
              </w:rPr>
              <w:t xml:space="preserve">Render (paid)</w:t>
            </w:r>
          </w:p>
        </w:tc>
        <w:tc>
          <w:tcPr>
            <w:tcW w:type="dxa" w:w="3960"/>
            <w:tcMar>
              <w:top w:type="dxa" w:w="80"/>
              <w:left w:type="dxa" w:w="120"/>
              <w:bottom w:type="dxa" w:w="80"/>
              <w:right w:type="dxa" w:w="120"/>
            </w:tcMar>
            <w:vAlign w:val="top"/>
          </w:tcPr>
          <w:p>
            <w:r>
              <w:rPr>
                <w:rFonts w:ascii="Calibri" w:cs="Calibri" w:eastAsia="Calibri" w:hAnsi="Calibri"/>
                <w:b w:val="false"/>
                <w:bCs w:val="false"/>
                <w:sz w:val="20"/>
                <w:szCs w:val="20"/>
              </w:rPr>
              <w:t xml:space="preserve">Live</w:t>
            </w:r>
          </w:p>
        </w:tc>
      </w:tr>
      <w:tr>
        <w:tc>
          <w:tcPr>
            <w:tcW w:type="dxa" w:w="28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Database</w:t>
            </w:r>
          </w:p>
        </w:tc>
        <w:tc>
          <w:tcPr>
            <w:tcW w:type="dxa" w:w="26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Supabase (paid)</w:t>
            </w:r>
          </w:p>
        </w:tc>
        <w:tc>
          <w:tcPr>
            <w:tcW w:type="dxa" w:w="39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Live</w:t>
            </w:r>
          </w:p>
        </w:tc>
      </w:tr>
      <w:tr>
        <w:tc>
          <w:tcPr>
            <w:tcW w:type="dxa" w:w="2800"/>
            <w:tcMar>
              <w:top w:type="dxa" w:w="80"/>
              <w:left w:type="dxa" w:w="120"/>
              <w:bottom w:type="dxa" w:w="80"/>
              <w:right w:type="dxa" w:w="120"/>
            </w:tcMar>
            <w:vAlign w:val="top"/>
          </w:tcPr>
          <w:p>
            <w:r>
              <w:rPr>
                <w:rFonts w:ascii="Calibri" w:cs="Calibri" w:eastAsia="Calibri" w:hAnsi="Calibri"/>
                <w:b w:val="false"/>
                <w:bCs w:val="false"/>
                <w:sz w:val="20"/>
                <w:szCs w:val="20"/>
              </w:rPr>
              <w:t xml:space="preserve">Market Data</w:t>
            </w:r>
          </w:p>
        </w:tc>
        <w:tc>
          <w:tcPr>
            <w:tcW w:type="dxa" w:w="2600"/>
            <w:tcMar>
              <w:top w:type="dxa" w:w="80"/>
              <w:left w:type="dxa" w:w="120"/>
              <w:bottom w:type="dxa" w:w="80"/>
              <w:right w:type="dxa" w:w="120"/>
            </w:tcMar>
            <w:vAlign w:val="top"/>
          </w:tcPr>
          <w:p>
            <w:r>
              <w:rPr>
                <w:rFonts w:ascii="Calibri" w:cs="Calibri" w:eastAsia="Calibri" w:hAnsi="Calibri"/>
                <w:b w:val="false"/>
                <w:bCs w:val="false"/>
                <w:sz w:val="20"/>
                <w:szCs w:val="20"/>
              </w:rPr>
              <w:t xml:space="preserve">Alpha Vantage</w:t>
            </w:r>
          </w:p>
        </w:tc>
        <w:tc>
          <w:tcPr>
            <w:tcW w:type="dxa" w:w="3960"/>
            <w:tcMar>
              <w:top w:type="dxa" w:w="80"/>
              <w:left w:type="dxa" w:w="120"/>
              <w:bottom w:type="dxa" w:w="80"/>
              <w:right w:type="dxa" w:w="120"/>
            </w:tcMar>
            <w:vAlign w:val="top"/>
          </w:tcPr>
          <w:p>
            <w:r>
              <w:rPr>
                <w:rFonts w:ascii="Calibri" w:cs="Calibri" w:eastAsia="Calibri" w:hAnsi="Calibri"/>
                <w:b w:val="false"/>
                <w:bCs w:val="false"/>
                <w:sz w:val="20"/>
                <w:szCs w:val="20"/>
              </w:rPr>
              <w:t xml:space="preserve">Live</w:t>
            </w:r>
          </w:p>
        </w:tc>
      </w:tr>
      <w:tr>
        <w:tc>
          <w:tcPr>
            <w:tcW w:type="dxa" w:w="28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Paper Trading</w:t>
            </w:r>
          </w:p>
        </w:tc>
        <w:tc>
          <w:tcPr>
            <w:tcW w:type="dxa" w:w="26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Tiger Brokers API</w:t>
            </w:r>
          </w:p>
        </w:tc>
        <w:tc>
          <w:tcPr>
            <w:tcW w:type="dxa" w:w="39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Live  -  March 2026</w:t>
            </w:r>
          </w:p>
        </w:tc>
      </w:tr>
      <w:tr>
        <w:tc>
          <w:tcPr>
            <w:tcW w:type="dxa" w:w="2800"/>
            <w:tcMar>
              <w:top w:type="dxa" w:w="80"/>
              <w:left w:type="dxa" w:w="120"/>
              <w:bottom w:type="dxa" w:w="80"/>
              <w:right w:type="dxa" w:w="120"/>
            </w:tcMar>
            <w:vAlign w:val="top"/>
          </w:tcPr>
          <w:p>
            <w:r>
              <w:rPr>
                <w:rFonts w:ascii="Calibri" w:cs="Calibri" w:eastAsia="Calibri" w:hAnsi="Calibri"/>
                <w:b w:val="false"/>
                <w:bCs w:val="false"/>
                <w:sz w:val="20"/>
                <w:szCs w:val="20"/>
              </w:rPr>
              <w:t xml:space="preserve">Website</w:t>
            </w:r>
          </w:p>
        </w:tc>
        <w:tc>
          <w:tcPr>
            <w:tcW w:type="dxa" w:w="2600"/>
            <w:tcMar>
              <w:top w:type="dxa" w:w="80"/>
              <w:left w:type="dxa" w:w="120"/>
              <w:bottom w:type="dxa" w:w="80"/>
              <w:right w:type="dxa" w:w="120"/>
            </w:tcMar>
            <w:vAlign w:val="top"/>
          </w:tcPr>
          <w:p>
            <w:r>
              <w:rPr>
                <w:rFonts w:ascii="Calibri" w:cs="Calibri" w:eastAsia="Calibri" w:hAnsi="Calibri"/>
                <w:b w:val="false"/>
                <w:bCs w:val="false"/>
                <w:sz w:val="20"/>
                <w:szCs w:val="20"/>
              </w:rPr>
              <w:t xml:space="preserve">stockqueen.tech</w:t>
            </w:r>
          </w:p>
        </w:tc>
        <w:tc>
          <w:tcPr>
            <w:tcW w:type="dxa" w:w="3960"/>
            <w:tcMar>
              <w:top w:type="dxa" w:w="80"/>
              <w:left w:type="dxa" w:w="120"/>
              <w:bottom w:type="dxa" w:w="80"/>
              <w:right w:type="dxa" w:w="120"/>
            </w:tcMar>
            <w:vAlign w:val="top"/>
          </w:tcPr>
          <w:p>
            <w:r>
              <w:rPr>
                <w:rFonts w:ascii="Calibri" w:cs="Calibri" w:eastAsia="Calibri" w:hAnsi="Calibri"/>
                <w:b w:val="false"/>
                <w:bCs w:val="false"/>
                <w:sz w:val="20"/>
                <w:szCs w:val="20"/>
              </w:rPr>
              <w:t xml:space="preserve">Live</w:t>
            </w:r>
          </w:p>
        </w:tc>
      </w:tr>
    </w:tbl>
    <w:p>
      <w:r>
        <w:br w:type="page"/>
      </w:r>
    </w:p>
    <w:p>
      <w:pPr>
        <w:pStyle w:val="Heading1"/>
        <w:spacing w:after="120" w:before="240"/>
        <w:outlineLvl w:val="0"/>
      </w:pPr>
      <w:r>
        <w:rPr>
          <w:rFonts w:ascii="Calibri" w:cs="Calibri" w:eastAsia="Calibri" w:hAnsi="Calibri"/>
          <w:b/>
          <w:bCs/>
          <w:color w:val="1a2744"/>
          <w:sz w:val="28"/>
          <w:szCs w:val="28"/>
        </w:rPr>
        <w:t xml:space="preserve">Section 4: Validated Performance</w:t>
      </w:r>
    </w:p>
    <w:p>
      <w:pPr>
        <w:spacing w:after="160"/>
      </w:pPr>
      <w:r>
        <w:rPr>
          <w:rFonts w:ascii="Calibri" w:cs="Calibri" w:eastAsia="Calibri" w:hAnsi="Calibri"/>
          <w:b/>
          <w:bCs/>
          <w:color w:val="CC0000"/>
          <w:sz w:val="20"/>
          <w:szCs w:val="20"/>
        </w:rPr>
        <w:t xml:space="preserve">All performance figures are based on walk-forward out-of-sample backtesting and paper trading simulation. They do not represent actual live trading returns. Past performance and simulated results are not indicative of future results.</w:t>
      </w:r>
    </w:p>
    <w:p>
      <w:pPr>
        <w:pStyle w:val="Heading2"/>
        <w:spacing w:after="100" w:before="200"/>
        <w:outlineLvl w:val="1"/>
      </w:pPr>
      <w:r>
        <w:rPr>
          <w:rFonts w:ascii="Calibri" w:cs="Calibri" w:eastAsia="Calibri" w:hAnsi="Calibri"/>
          <w:b/>
          <w:bCs/>
          <w:color w:val="1a2744"/>
          <w:sz w:val="24"/>
          <w:szCs w:val="24"/>
        </w:rPr>
        <w:t xml:space="preserve">4.1 Core Strategy Walk-Forward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Metric</w:t>
            </w:r>
          </w:p>
        </w:tc>
        <w:tc>
          <w:tcPr>
            <w:tcW w:type="dxa" w:w="536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Value</w:t>
            </w:r>
          </w:p>
        </w:tc>
      </w:tr>
      <w:tr>
        <w:tc>
          <w:tcPr>
            <w:tcW w:type="dxa" w:w="40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Average OOS Sharpe Ratio</w:t>
            </w:r>
          </w:p>
        </w:tc>
        <w:tc>
          <w:tcPr>
            <w:tcW w:type="dxa" w:w="53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4.606 (Portfolio avg; V4: 1.322, MR: 0.770)</w:t>
            </w:r>
          </w:p>
        </w:tc>
      </w:tr>
      <w:tr>
        <w:tc>
          <w:tcPr>
            <w:tcW w:type="dxa" w:w="4000"/>
            <w:tcMar>
              <w:top w:type="dxa" w:w="80"/>
              <w:left w:type="dxa" w:w="120"/>
              <w:bottom w:type="dxa" w:w="80"/>
              <w:right w:type="dxa" w:w="120"/>
            </w:tcMar>
            <w:vAlign w:val="top"/>
          </w:tcPr>
          <w:p>
            <w:r>
              <w:rPr>
                <w:rFonts w:ascii="Calibri" w:cs="Calibri" w:eastAsia="Calibri" w:hAnsi="Calibri"/>
                <w:b w:val="false"/>
                <w:bCs w:val="false"/>
                <w:sz w:val="20"/>
                <w:szCs w:val="20"/>
              </w:rPr>
              <w:t xml:space="preserve">Profitable OOS Windows</w:t>
            </w:r>
          </w:p>
        </w:tc>
        <w:tc>
          <w:tcPr>
            <w:tcW w:type="dxa" w:w="5360"/>
            <w:tcMar>
              <w:top w:type="dxa" w:w="80"/>
              <w:left w:type="dxa" w:w="120"/>
              <w:bottom w:type="dxa" w:w="80"/>
              <w:right w:type="dxa" w:w="120"/>
            </w:tcMar>
            <w:vAlign w:val="top"/>
          </w:tcPr>
          <w:p>
            <w:r>
              <w:rPr>
                <w:rFonts w:ascii="Calibri" w:cs="Calibri" w:eastAsia="Calibri" w:hAnsi="Calibri"/>
                <w:b w:val="false"/>
                <w:bCs w:val="false"/>
                <w:sz w:val="20"/>
                <w:szCs w:val="20"/>
              </w:rPr>
              <w:t xml:space="preserve">5 out of 6 positive (83%); Worst: W3 2022 = -1.3% vs SPY -19%</w:t>
            </w:r>
          </w:p>
        </w:tc>
      </w:tr>
      <w:tr>
        <w:tc>
          <w:tcPr>
            <w:tcW w:type="dxa" w:w="40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Total OOS CAGR</w:t>
            </w:r>
          </w:p>
        </w:tc>
        <w:tc>
          <w:tcPr>
            <w:tcW w:type="dxa" w:w="53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13.9%</w:t>
            </w:r>
          </w:p>
        </w:tc>
      </w:tr>
      <w:tr>
        <w:tc>
          <w:tcPr>
            <w:tcW w:type="dxa" w:w="4000"/>
            <w:tcMar>
              <w:top w:type="dxa" w:w="80"/>
              <w:left w:type="dxa" w:w="120"/>
              <w:bottom w:type="dxa" w:w="80"/>
              <w:right w:type="dxa" w:w="120"/>
            </w:tcMar>
            <w:vAlign w:val="top"/>
          </w:tcPr>
          <w:p>
            <w:r>
              <w:rPr>
                <w:rFonts w:ascii="Calibri" w:cs="Calibri" w:eastAsia="Calibri" w:hAnsi="Calibri"/>
                <w:b w:val="false"/>
                <w:bCs w:val="false"/>
                <w:sz w:val="20"/>
                <w:szCs w:val="20"/>
              </w:rPr>
              <w:t xml:space="preserve">Cumulative OOS Return (5 years)</w:t>
            </w:r>
          </w:p>
        </w:tc>
        <w:tc>
          <w:tcPr>
            <w:tcW w:type="dxa" w:w="5360"/>
            <w:tcMar>
              <w:top w:type="dxa" w:w="80"/>
              <w:left w:type="dxa" w:w="120"/>
              <w:bottom w:type="dxa" w:w="80"/>
              <w:right w:type="dxa" w:w="120"/>
            </w:tcMar>
            <w:vAlign w:val="top"/>
          </w:tcPr>
          <w:p>
            <w:r>
              <w:rPr>
                <w:rFonts w:ascii="Calibri" w:cs="Calibri" w:eastAsia="Calibri" w:hAnsi="Calibri"/>
                <w:b w:val="false"/>
                <w:bCs w:val="false"/>
                <w:sz w:val="20"/>
                <w:szCs w:val="20"/>
              </w:rPr>
              <w:t xml:space="preserve">+118.0%</w:t>
            </w:r>
          </w:p>
        </w:tc>
      </w:tr>
      <w:tr>
        <w:tc>
          <w:tcPr>
            <w:tcW w:type="dxa" w:w="40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Maximum Drawdown</w:t>
            </w:r>
          </w:p>
        </w:tc>
        <w:tc>
          <w:tcPr>
            <w:tcW w:type="dxa" w:w="53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-19.1%</w:t>
            </w:r>
          </w:p>
        </w:tc>
      </w:tr>
      <w:tr>
        <w:tc>
          <w:tcPr>
            <w:tcW w:type="dxa" w:w="4000"/>
            <w:tcMar>
              <w:top w:type="dxa" w:w="80"/>
              <w:left w:type="dxa" w:w="120"/>
              <w:bottom w:type="dxa" w:w="80"/>
              <w:right w:type="dxa" w:w="120"/>
            </w:tcMar>
            <w:vAlign w:val="top"/>
          </w:tcPr>
          <w:p>
            <w:r>
              <w:rPr>
                <w:rFonts w:ascii="Calibri" w:cs="Calibri" w:eastAsia="Calibri" w:hAnsi="Calibri"/>
                <w:b w:val="false"/>
                <w:bCs w:val="false"/>
                <w:sz w:val="20"/>
                <w:szCs w:val="20"/>
              </w:rPr>
              <w:t xml:space="preserve">Overfitting Decay</w:t>
            </w:r>
          </w:p>
        </w:tc>
        <w:tc>
          <w:tcPr>
            <w:tcW w:type="dxa" w:w="5360"/>
            <w:tcMar>
              <w:top w:type="dxa" w:w="80"/>
              <w:left w:type="dxa" w:w="120"/>
              <w:bottom w:type="dxa" w:w="80"/>
              <w:right w:type="dxa" w:w="120"/>
            </w:tcMar>
            <w:vAlign w:val="top"/>
          </w:tcPr>
          <w:p>
            <w:r>
              <w:rPr>
                <w:rFonts w:ascii="Calibri" w:cs="Calibri" w:eastAsia="Calibri" w:hAnsi="Calibri"/>
                <w:b w:val="false"/>
                <w:bCs w:val="false"/>
                <w:sz w:val="20"/>
                <w:szCs w:val="20"/>
              </w:rPr>
              <w:t xml:space="preserve">0.26 (Low  -  confirmed real edge; healthy range is &lt;0.4)</w:t>
            </w:r>
          </w:p>
        </w:tc>
      </w:tr>
      <w:tr>
        <w:tc>
          <w:tcPr>
            <w:tcW w:type="dxa" w:w="40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Test Coverage</w:t>
            </w:r>
          </w:p>
        </w:tc>
        <w:tc>
          <w:tcPr>
            <w:tcW w:type="dxa" w:w="53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2020-01-01 ~ 2024-12-31 (5 full calendar years, 260 trading weeks, all market regimes)</w:t>
            </w:r>
          </w:p>
        </w:tc>
      </w:tr>
    </w:tbl>
    <w:p>
      <w:pPr>
        <w:spacing w:after="160" w:before="0"/>
        <w:jc w:val="left"/>
      </w:pPr>
      <w:r>
        <w:rPr>
          <w:rFonts w:ascii="Calibri" w:cs="Calibri" w:eastAsia="Calibri" w:hAnsi="Calibri"/>
          <w:b w:val="false"/>
          <w:bCs w:val="false"/>
          <w:sz w:val="22"/>
          <w:szCs w:val="22"/>
        </w:rPr>
        <w:t xml:space="preserve"/>
      </w:r>
    </w:p>
    <w:p>
      <w:pPr>
        <w:pStyle w:val="Heading2"/>
        <w:spacing w:after="100" w:before="200"/>
        <w:outlineLvl w:val="1"/>
      </w:pPr>
      <w:r>
        <w:rPr>
          <w:rFonts w:ascii="Calibri" w:cs="Calibri" w:eastAsia="Calibri" w:hAnsi="Calibri"/>
          <w:b/>
          <w:bCs/>
          <w:color w:val="1a2744"/>
          <w:sz w:val="24"/>
          <w:szCs w:val="24"/>
        </w:rPr>
        <w:t xml:space="preserve">4.2 Results by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0"/>
        <w:gridCol w:w="3360"/>
      </w:tblGrid>
      <w:tr>
        <w:tc>
          <w:tcPr>
            <w:tcW w:type="dxa" w:w="120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Window</w:t>
            </w:r>
          </w:p>
        </w:tc>
        <w:tc>
          <w:tcPr>
            <w:tcW w:type="dxa" w:w="150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Test Period</w:t>
            </w:r>
          </w:p>
        </w:tc>
        <w:tc>
          <w:tcPr>
            <w:tcW w:type="dxa" w:w="330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Market Environment</w:t>
            </w:r>
          </w:p>
        </w:tc>
        <w:tc>
          <w:tcPr>
            <w:tcW w:type="dxa" w:w="336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OOS Sharpe</w:t>
            </w:r>
          </w:p>
        </w:tc>
      </w:tr>
      <w:tr>
        <w:tc>
          <w:tcPr>
            <w:tcW w:type="dxa" w:w="1200"/>
            <w:tcMar>
              <w:top w:type="dxa" w:w="80"/>
              <w:left w:type="dxa" w:w="120"/>
              <w:bottom w:type="dxa" w:w="80"/>
              <w:right w:type="dxa" w:w="120"/>
            </w:tcMar>
            <w:vAlign w:val="top"/>
          </w:tcPr>
          <w:p>
            <w:r>
              <w:rPr>
                <w:rFonts w:ascii="Calibri" w:cs="Calibri" w:eastAsia="Calibri" w:hAnsi="Calibri"/>
                <w:b w:val="false"/>
                <w:bCs w:val="false"/>
                <w:sz w:val="20"/>
                <w:szCs w:val="20"/>
              </w:rPr>
              <w:t xml:space="preserve">W1</w:t>
            </w:r>
          </w:p>
        </w:tc>
        <w:tc>
          <w:tcPr>
            <w:tcW w:type="dxa" w:w="1500"/>
            <w:tcMar>
              <w:top w:type="dxa" w:w="80"/>
              <w:left w:type="dxa" w:w="120"/>
              <w:bottom w:type="dxa" w:w="80"/>
              <w:right w:type="dxa" w:w="120"/>
            </w:tcMar>
            <w:vAlign w:val="top"/>
          </w:tcPr>
          <w:p>
            <w:r>
              <w:rPr>
                <w:rFonts w:ascii="Calibri" w:cs="Calibri" w:eastAsia="Calibri" w:hAnsi="Calibri"/>
                <w:b w:val="false"/>
                <w:bCs w:val="false"/>
                <w:sz w:val="20"/>
                <w:szCs w:val="20"/>
              </w:rPr>
              <w:t xml:space="preserve">2020</w:t>
            </w:r>
          </w:p>
        </w:tc>
        <w:tc>
          <w:tcPr>
            <w:tcW w:type="dxa" w:w="3300"/>
            <w:tcMar>
              <w:top w:type="dxa" w:w="80"/>
              <w:left w:type="dxa" w:w="120"/>
              <w:bottom w:type="dxa" w:w="80"/>
              <w:right w:type="dxa" w:w="120"/>
            </w:tcMar>
            <w:vAlign w:val="top"/>
          </w:tcPr>
          <w:p>
            <w:r>
              <w:rPr>
                <w:rFonts w:ascii="Calibri" w:cs="Calibri" w:eastAsia="Calibri" w:hAnsi="Calibri"/>
                <w:b w:val="false"/>
                <w:bCs w:val="false"/>
                <w:sz w:val="20"/>
                <w:szCs w:val="20"/>
              </w:rPr>
              <w:t xml:space="preserve">COVID Crash + Recovery</w:t>
            </w:r>
          </w:p>
        </w:tc>
        <w:tc>
          <w:tcPr>
            <w:tcW w:type="dxa" w:w="3360"/>
            <w:tcMar>
              <w:top w:type="dxa" w:w="80"/>
              <w:left w:type="dxa" w:w="120"/>
              <w:bottom w:type="dxa" w:w="80"/>
              <w:right w:type="dxa" w:w="120"/>
            </w:tcMar>
            <w:vAlign w:val="top"/>
          </w:tcPr>
          <w:p>
            <w:r>
              <w:rPr>
                <w:rFonts w:ascii="Calibri" w:cs="Calibri" w:eastAsia="Calibri" w:hAnsi="Calibri"/>
                <w:b w:val="false"/>
                <w:bCs w:val="false"/>
                <w:sz w:val="20"/>
                <w:szCs w:val="20"/>
              </w:rPr>
              <w:t xml:space="preserve">6.37</w:t>
            </w:r>
          </w:p>
        </w:tc>
      </w:tr>
      <w:tr>
        <w:tc>
          <w:tcPr>
            <w:tcW w:type="dxa" w:w="12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W2</w:t>
            </w:r>
          </w:p>
        </w:tc>
        <w:tc>
          <w:tcPr>
            <w:tcW w:type="dxa" w:w="15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2021</w:t>
            </w:r>
          </w:p>
        </w:tc>
        <w:tc>
          <w:tcPr>
            <w:tcW w:type="dxa" w:w="33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FOMO Bull Market</w:t>
            </w:r>
          </w:p>
        </w:tc>
        <w:tc>
          <w:tcPr>
            <w:tcW w:type="dxa" w:w="33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3.67</w:t>
            </w:r>
          </w:p>
        </w:tc>
      </w:tr>
      <w:tr>
        <w:tc>
          <w:tcPr>
            <w:tcW w:type="dxa" w:w="1200"/>
            <w:tcMar>
              <w:top w:type="dxa" w:w="80"/>
              <w:left w:type="dxa" w:w="120"/>
              <w:bottom w:type="dxa" w:w="80"/>
              <w:right w:type="dxa" w:w="120"/>
            </w:tcMar>
            <w:vAlign w:val="top"/>
          </w:tcPr>
          <w:p>
            <w:r>
              <w:rPr>
                <w:rFonts w:ascii="Calibri" w:cs="Calibri" w:eastAsia="Calibri" w:hAnsi="Calibri"/>
                <w:b w:val="false"/>
                <w:bCs w:val="false"/>
                <w:sz w:val="20"/>
                <w:szCs w:val="20"/>
              </w:rPr>
              <w:t xml:space="preserve">W3</w:t>
            </w:r>
          </w:p>
        </w:tc>
        <w:tc>
          <w:tcPr>
            <w:tcW w:type="dxa" w:w="1500"/>
            <w:tcMar>
              <w:top w:type="dxa" w:w="80"/>
              <w:left w:type="dxa" w:w="120"/>
              <w:bottom w:type="dxa" w:w="80"/>
              <w:right w:type="dxa" w:w="120"/>
            </w:tcMar>
            <w:vAlign w:val="top"/>
          </w:tcPr>
          <w:p>
            <w:r>
              <w:rPr>
                <w:rFonts w:ascii="Calibri" w:cs="Calibri" w:eastAsia="Calibri" w:hAnsi="Calibri"/>
                <w:b w:val="false"/>
                <w:bCs w:val="false"/>
                <w:sz w:val="20"/>
                <w:szCs w:val="20"/>
              </w:rPr>
              <w:t xml:space="preserve">2022</w:t>
            </w:r>
          </w:p>
        </w:tc>
        <w:tc>
          <w:tcPr>
            <w:tcW w:type="dxa" w:w="3300"/>
            <w:tcMar>
              <w:top w:type="dxa" w:w="80"/>
              <w:left w:type="dxa" w:w="120"/>
              <w:bottom w:type="dxa" w:w="80"/>
              <w:right w:type="dxa" w:w="120"/>
            </w:tcMar>
            <w:vAlign w:val="top"/>
          </w:tcPr>
          <w:p>
            <w:r>
              <w:rPr>
                <w:rFonts w:ascii="Calibri" w:cs="Calibri" w:eastAsia="Calibri" w:hAnsi="Calibri"/>
                <w:b w:val="false"/>
                <w:bCs w:val="false"/>
                <w:sz w:val="20"/>
                <w:szCs w:val="20"/>
              </w:rPr>
              <w:t xml:space="preserve">Fed Rate Hike Bear Market</w:t>
            </w:r>
          </w:p>
        </w:tc>
        <w:tc>
          <w:tcPr>
            <w:tcW w:type="dxa" w:w="3360"/>
            <w:tcMar>
              <w:top w:type="dxa" w:w="80"/>
              <w:left w:type="dxa" w:w="120"/>
              <w:bottom w:type="dxa" w:w="80"/>
              <w:right w:type="dxa" w:w="120"/>
            </w:tcMar>
            <w:vAlign w:val="top"/>
          </w:tcPr>
          <w:p>
            <w:r>
              <w:rPr>
                <w:rFonts w:ascii="Calibri" w:cs="Calibri" w:eastAsia="Calibri" w:hAnsi="Calibri"/>
                <w:b w:val="false"/>
                <w:bCs w:val="false"/>
                <w:sz w:val="20"/>
                <w:szCs w:val="20"/>
              </w:rPr>
              <w:t xml:space="preserve">-0.255</w:t>
            </w:r>
          </w:p>
        </w:tc>
      </w:tr>
      <w:tr>
        <w:tc>
          <w:tcPr>
            <w:tcW w:type="dxa" w:w="12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W4</w:t>
            </w:r>
          </w:p>
        </w:tc>
        <w:tc>
          <w:tcPr>
            <w:tcW w:type="dxa" w:w="15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2023</w:t>
            </w:r>
          </w:p>
        </w:tc>
        <w:tc>
          <w:tcPr>
            <w:tcW w:type="dxa" w:w="33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AI-Led Recovery</w:t>
            </w:r>
          </w:p>
        </w:tc>
        <w:tc>
          <w:tcPr>
            <w:tcW w:type="dxa" w:w="33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11.17</w:t>
            </w:r>
          </w:p>
        </w:tc>
      </w:tr>
      <w:tr>
        <w:tc>
          <w:tcPr>
            <w:tcW w:type="dxa" w:w="1200"/>
            <w:tcMar>
              <w:top w:type="dxa" w:w="80"/>
              <w:left w:type="dxa" w:w="120"/>
              <w:bottom w:type="dxa" w:w="80"/>
              <w:right w:type="dxa" w:w="120"/>
            </w:tcMar>
            <w:vAlign w:val="top"/>
          </w:tcPr>
          <w:p>
            <w:r>
              <w:rPr>
                <w:rFonts w:ascii="Calibri" w:cs="Calibri" w:eastAsia="Calibri" w:hAnsi="Calibri"/>
                <w:b w:val="false"/>
                <w:bCs w:val="false"/>
                <w:sz w:val="20"/>
                <w:szCs w:val="20"/>
              </w:rPr>
              <w:t xml:space="preserve">W5</w:t>
            </w:r>
          </w:p>
        </w:tc>
        <w:tc>
          <w:tcPr>
            <w:tcW w:type="dxa" w:w="1500"/>
            <w:tcMar>
              <w:top w:type="dxa" w:w="80"/>
              <w:left w:type="dxa" w:w="120"/>
              <w:bottom w:type="dxa" w:w="80"/>
              <w:right w:type="dxa" w:w="120"/>
            </w:tcMar>
            <w:vAlign w:val="top"/>
          </w:tcPr>
          <w:p>
            <w:r>
              <w:rPr>
                <w:rFonts w:ascii="Calibri" w:cs="Calibri" w:eastAsia="Calibri" w:hAnsi="Calibri"/>
                <w:b w:val="false"/>
                <w:bCs w:val="false"/>
                <w:sz w:val="20"/>
                <w:szCs w:val="20"/>
              </w:rPr>
              <w:t xml:space="preserve">2024</w:t>
            </w:r>
          </w:p>
        </w:tc>
        <w:tc>
          <w:tcPr>
            <w:tcW w:type="dxa" w:w="3300"/>
            <w:tcMar>
              <w:top w:type="dxa" w:w="80"/>
              <w:left w:type="dxa" w:w="120"/>
              <w:bottom w:type="dxa" w:w="80"/>
              <w:right w:type="dxa" w:w="120"/>
            </w:tcMar>
            <w:vAlign w:val="top"/>
          </w:tcPr>
          <w:p>
            <w:r>
              <w:rPr>
                <w:rFonts w:ascii="Calibri" w:cs="Calibri" w:eastAsia="Calibri" w:hAnsi="Calibri"/>
                <w:b w:val="false"/>
                <w:bCs w:val="false"/>
                <w:sz w:val="20"/>
                <w:szCs w:val="20"/>
              </w:rPr>
              <w:t xml:space="preserve">AI Bull Market</w:t>
            </w:r>
          </w:p>
        </w:tc>
        <w:tc>
          <w:tcPr>
            <w:tcW w:type="dxa" w:w="3360"/>
            <w:tcMar>
              <w:top w:type="dxa" w:w="80"/>
              <w:left w:type="dxa" w:w="120"/>
              <w:bottom w:type="dxa" w:w="80"/>
              <w:right w:type="dxa" w:w="120"/>
            </w:tcMar>
            <w:vAlign w:val="top"/>
          </w:tcPr>
          <w:p>
            <w:r>
              <w:rPr>
                <w:rFonts w:ascii="Calibri" w:cs="Calibri" w:eastAsia="Calibri" w:hAnsi="Calibri"/>
                <w:b w:val="false"/>
                <w:bCs w:val="false"/>
                <w:sz w:val="20"/>
                <w:szCs w:val="20"/>
              </w:rPr>
              <w:t xml:space="preserve">3.47</w:t>
            </w:r>
          </w:p>
        </w:tc>
      </w:tr>
      <w:tr>
        <w:tc>
          <w:tcPr>
            <w:tcW w:type="dxa" w:w="1200"/>
            <w:tcMar>
              <w:top w:type="dxa" w:w="80"/>
              <w:left w:type="dxa" w:w="120"/>
              <w:bottom w:type="dxa" w:w="80"/>
              <w:right w:type="dxa" w:w="120"/>
            </w:tcMar>
            <w:vAlign w:val="top"/>
          </w:tcPr>
          <w:p>
            <w:r>
              <w:rPr>
                <w:rFonts w:ascii="Calibri" w:cs="Calibri" w:eastAsia="Calibri" w:hAnsi="Calibri"/>
                <w:b w:val="false"/>
                <w:bCs w:val="false"/>
                <w:sz w:val="20"/>
                <w:szCs w:val="20"/>
              </w:rPr>
              <w:t xml:space="preserve">W6</w:t>
            </w:r>
          </w:p>
        </w:tc>
        <w:tc>
          <w:tcPr>
            <w:tcW w:type="dxa" w:w="1500"/>
            <w:tcMar>
              <w:top w:type="dxa" w:w="80"/>
              <w:left w:type="dxa" w:w="120"/>
              <w:bottom w:type="dxa" w:w="80"/>
              <w:right w:type="dxa" w:w="120"/>
            </w:tcMar>
            <w:vAlign w:val="top"/>
          </w:tcPr>
          <w:p>
            <w:r>
              <w:rPr>
                <w:rFonts w:ascii="Calibri" w:cs="Calibri" w:eastAsia="Calibri" w:hAnsi="Calibri"/>
                <w:b w:val="false"/>
                <w:bCs w:val="false"/>
                <w:sz w:val="20"/>
                <w:szCs w:val="20"/>
              </w:rPr>
              <w:t xml:space="preserve">2025</w:t>
            </w:r>
          </w:p>
        </w:tc>
        <w:tc>
          <w:tcPr>
            <w:tcW w:type="dxa" w:w="3300"/>
            <w:tcMar>
              <w:top w:type="dxa" w:w="80"/>
              <w:left w:type="dxa" w:w="120"/>
              <w:bottom w:type="dxa" w:w="80"/>
              <w:right w:type="dxa" w:w="120"/>
            </w:tcMar>
            <w:vAlign w:val="top"/>
          </w:tcPr>
          <w:p>
            <w:r>
              <w:rPr>
                <w:rFonts w:ascii="Calibri" w:cs="Calibri" w:eastAsia="Calibri" w:hAnsi="Calibri"/>
                <w:b w:val="false"/>
                <w:bCs w:val="false"/>
                <w:sz w:val="20"/>
                <w:szCs w:val="20"/>
              </w:rPr>
              <w:t xml:space="preserve">Tariff Uncertainty</w:t>
            </w:r>
          </w:p>
        </w:tc>
        <w:tc>
          <w:tcPr>
            <w:tcW w:type="dxa" w:w="3360"/>
            <w:tcMar>
              <w:top w:type="dxa" w:w="80"/>
              <w:left w:type="dxa" w:w="120"/>
              <w:bottom w:type="dxa" w:w="80"/>
              <w:right w:type="dxa" w:w="120"/>
            </w:tcMar>
            <w:vAlign w:val="top"/>
          </w:tcPr>
          <w:p>
            <w:r>
              <w:rPr>
                <w:rFonts w:ascii="Calibri" w:cs="Calibri" w:eastAsia="Calibri" w:hAnsi="Calibri"/>
                <w:b w:val="false"/>
                <w:bCs w:val="false"/>
                <w:sz w:val="20"/>
                <w:szCs w:val="20"/>
              </w:rPr>
              <w:t xml:space="preserve">3.148</w:t>
            </w:r>
          </w:p>
        </w:tc>
      </w:tr>
      <w:tr>
        <w:tc>
          <w:tcPr>
            <w:tcW w:type="dxa" w:w="12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Average</w:t>
            </w:r>
          </w:p>
        </w:tc>
        <w:tc>
          <w:tcPr>
            <w:tcW w:type="dxa" w:w="15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
            </w:r>
          </w:p>
        </w:tc>
        <w:tc>
          <w:tcPr>
            <w:tcW w:type="dxa" w:w="33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
            </w:r>
          </w:p>
        </w:tc>
        <w:tc>
          <w:tcPr>
            <w:tcW w:type="dxa" w:w="33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4.606</w:t>
            </w:r>
          </w:p>
        </w:tc>
      </w:tr>
    </w:tbl>
    <w:p>
      <w:pPr>
        <w:spacing w:after="160" w:before="0"/>
        <w:jc w:val="left"/>
      </w:pPr>
      <w:r>
        <w:rPr>
          <w:rFonts w:ascii="Calibri" w:cs="Calibri" w:eastAsia="Calibri" w:hAnsi="Calibri"/>
          <w:b w:val="false"/>
          <w:bCs w:val="false"/>
          <w:sz w:val="22"/>
          <w:szCs w:val="22"/>
        </w:rPr>
        <w:t xml:space="preserve"/>
      </w:r>
    </w:p>
    <w:p>
      <w:pPr>
        <w:pStyle w:val="Heading3"/>
        <w:spacing w:after="100" w:before="200"/>
      </w:pPr>
      <w:r>
        <w:rPr>
          <w:rFonts w:ascii="Calibri" w:cs="Calibri" w:hAnsi="Calibri"/>
          <w:b/>
          <w:color w:val="1a2744"/>
          <w:sz w:val="22"/>
          <w:szCs w:val="22"/>
        </w:rPr>
        <w:t>Year-by-Year OOS Performance vs S&amp;P 500 (2020–2024)</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Look w:val="0000"/>
      </w:tblPr>
      <w:tblGrid>
        <w:gridCol w:w="900"/>
        <w:gridCol w:w="1560"/>
        <w:gridCol w:w="1200"/>
        <w:gridCol w:w="1560"/>
        <w:gridCol w:w="1200"/>
        <w:gridCol w:w="1440"/>
        <w:gridCol w:w="1500"/>
      </w:tblGrid>
      <w:tr>
        <w:trPr>
          <w:shd w:fill="1a2744" w:color="auto" w:val="clear"/>
        </w:trPr>
        <w:tc>
          <w:tcPr>
            <w:tcW w:type="dxa" w:w="900"/>
            <w:shd w:fill="1a2744" w:color="auto" w:val="clear"/>
            <w:tcMar>
              <w:top w:type="dxa" w:w="80"/>
              <w:bottom w:type="dxa" w:w="80"/>
              <w:left w:type="dxa" w:w="120"/>
              <w:right w:type="dxa" w:w="120"/>
            </w:tcMar>
          </w:tcPr>
          <w:p>
            <w:pPr>
              <w:jc w:val="center"/>
            </w:pPr>
            <w:r>
              <w:rPr>
                <w:b/>
                <w:color w:val="FFFFFF"/>
                <w:sz w:val="18"/>
              </w:rPr>
              <w:t>Window</w:t>
            </w:r>
          </w:p>
        </w:tc>
        <w:tc>
          <w:tcPr>
            <w:tcW w:type="dxa" w:w="1560"/>
            <w:shd w:fill="1a2744" w:color="auto" w:val="clear"/>
            <w:tcMar>
              <w:top w:type="dxa" w:w="80"/>
              <w:bottom w:type="dxa" w:w="80"/>
              <w:left w:type="dxa" w:w="120"/>
              <w:right w:type="dxa" w:w="120"/>
            </w:tcMar>
          </w:tcPr>
          <w:p>
            <w:pPr>
              <w:jc w:val="center"/>
            </w:pPr>
            <w:r>
              <w:rPr>
                <w:b/>
                <w:color w:val="FFFFFF"/>
                <w:sz w:val="18"/>
              </w:rPr>
              <w:t>Market Environment</w:t>
            </w:r>
          </w:p>
        </w:tc>
        <w:tc>
          <w:tcPr>
            <w:tcW w:type="dxa" w:w="1200"/>
            <w:shd w:fill="1a2744" w:color="auto" w:val="clear"/>
            <w:tcMar>
              <w:top w:type="dxa" w:w="80"/>
              <w:bottom w:type="dxa" w:w="80"/>
              <w:left w:type="dxa" w:w="120"/>
              <w:right w:type="dxa" w:w="120"/>
            </w:tcMar>
          </w:tcPr>
          <w:p>
            <w:pPr>
              <w:jc w:val="center"/>
            </w:pPr>
            <w:r>
              <w:rPr>
                <w:b/>
                <w:color w:val="FFFFFF"/>
                <w:sz w:val="18"/>
              </w:rPr>
              <w:t>OOS Sharpe</w:t>
            </w:r>
          </w:p>
        </w:tc>
        <w:tc>
          <w:tcPr>
            <w:tcW w:type="dxa" w:w="1560"/>
            <w:shd w:fill="1a2744" w:color="auto" w:val="clear"/>
            <w:tcMar>
              <w:top w:type="dxa" w:w="80"/>
              <w:bottom w:type="dxa" w:w="80"/>
              <w:left w:type="dxa" w:w="120"/>
              <w:right w:type="dxa" w:w="120"/>
            </w:tcMar>
          </w:tcPr>
          <w:p>
            <w:pPr>
              <w:jc w:val="center"/>
            </w:pPr>
            <w:r>
              <w:rPr>
                <w:b/>
                <w:color w:val="FFFFFF"/>
                <w:sz w:val="18"/>
              </w:rPr>
              <w:t>Strategy Return</w:t>
            </w:r>
          </w:p>
        </w:tc>
        <w:tc>
          <w:tcPr>
            <w:tcW w:type="dxa" w:w="1200"/>
            <w:shd w:fill="1a2744" w:color="auto" w:val="clear"/>
            <w:tcMar>
              <w:top w:type="dxa" w:w="80"/>
              <w:bottom w:type="dxa" w:w="80"/>
              <w:left w:type="dxa" w:w="120"/>
              <w:right w:type="dxa" w:w="120"/>
            </w:tcMar>
          </w:tcPr>
          <w:p>
            <w:pPr>
              <w:jc w:val="center"/>
            </w:pPr>
            <w:r>
              <w:rPr>
                <w:b/>
                <w:color w:val="FFFFFF"/>
                <w:sz w:val="18"/>
              </w:rPr>
              <w:t>SPY Return</w:t>
            </w:r>
          </w:p>
        </w:tc>
        <w:tc>
          <w:tcPr>
            <w:tcW w:type="dxa" w:w="1440"/>
            <w:shd w:fill="1a2744" w:color="auto" w:val="clear"/>
            <w:tcMar>
              <w:top w:type="dxa" w:w="80"/>
              <w:bottom w:type="dxa" w:w="80"/>
              <w:left w:type="dxa" w:w="120"/>
              <w:right w:type="dxa" w:w="120"/>
            </w:tcMar>
          </w:tcPr>
          <w:p>
            <w:pPr>
              <w:jc w:val="center"/>
            </w:pPr>
            <w:r>
              <w:rPr>
                <w:b/>
                <w:color w:val="FFFFFF"/>
                <w:sz w:val="18"/>
              </w:rPr>
              <w:t>Alpha</w:t>
            </w:r>
          </w:p>
        </w:tc>
        <w:tc>
          <w:tcPr>
            <w:tcW w:type="dxa" w:w="1500"/>
            <w:shd w:fill="1a2744" w:color="auto" w:val="clear"/>
            <w:tcMar>
              <w:top w:type="dxa" w:w="80"/>
              <w:bottom w:type="dxa" w:w="80"/>
              <w:left w:type="dxa" w:w="120"/>
              <w:right w:type="dxa" w:w="120"/>
            </w:tcMar>
          </w:tcPr>
          <w:p>
            <w:pPr>
              <w:jc w:val="center"/>
            </w:pPr>
            <w:r>
              <w:rPr>
                <w:b/>
                <w:color w:val="FFFFFF"/>
                <w:sz w:val="18"/>
              </w:rPr>
              <w:t>Max Drawdown</w:t>
            </w:r>
          </w:p>
        </w:tc>
      </w:tr>
      <w:tr>
        <w:tc>
          <w:tcPr>
            <w:tcW w:type="dxa" w:w="900"/>
            <w:tcMar>
              <w:top w:type="dxa" w:w="80"/>
              <w:bottom w:type="dxa" w:w="80"/>
              <w:left w:type="dxa" w:w="120"/>
              <w:right w:type="dxa" w:w="120"/>
            </w:tcMar>
          </w:tcPr>
          <w:p>
            <w:pPr>
              <w:jc w:val="center"/>
            </w:pPr>
            <w:r>
              <w:rPr>
                <w:sz w:val="18"/>
              </w:rPr>
              <w:t>W1 2020</w:t>
            </w:r>
          </w:p>
        </w:tc>
        <w:tc>
          <w:tcPr>
            <w:tcW w:type="dxa" w:w="1560"/>
            <w:tcMar>
              <w:top w:type="dxa" w:w="80"/>
              <w:bottom w:type="dxa" w:w="80"/>
              <w:left w:type="dxa" w:w="120"/>
              <w:right w:type="dxa" w:w="120"/>
            </w:tcMar>
          </w:tcPr>
          <w:p>
            <w:r>
              <w:rPr>
                <w:sz w:val="18"/>
              </w:rPr>
              <w:t>COVID Crash + V-Rebound</w:t>
            </w:r>
          </w:p>
        </w:tc>
        <w:tc>
          <w:tcPr>
            <w:tcW w:type="dxa" w:w="1200"/>
            <w:tcMar>
              <w:top w:type="dxa" w:w="80"/>
              <w:bottom w:type="dxa" w:w="80"/>
              <w:left w:type="dxa" w:w="120"/>
              <w:right w:type="dxa" w:w="120"/>
            </w:tcMar>
          </w:tcPr>
          <w:p>
            <w:pPr>
              <w:jc w:val="center"/>
            </w:pPr>
            <w:r>
              <w:rPr>
                <w:b/>
                <w:color w:val="1a6e3a"/>
                <w:sz w:val="18"/>
              </w:rPr>
              <w:t>6.37</w:t>
            </w:r>
          </w:p>
        </w:tc>
        <w:tc>
          <w:tcPr>
            <w:tcW w:type="dxa" w:w="1560"/>
            <w:tcMar>
              <w:top w:type="dxa" w:w="80"/>
              <w:bottom w:type="dxa" w:w="80"/>
              <w:left w:type="dxa" w:w="120"/>
              <w:right w:type="dxa" w:w="120"/>
            </w:tcMar>
          </w:tcPr>
          <w:p>
            <w:pPr>
              <w:jc w:val="center"/>
            </w:pPr>
            <w:r>
              <w:rPr>
                <w:b/>
                <w:color w:val="1a6e3a"/>
                <w:sz w:val="18"/>
              </w:rPr>
              <w:t>+24.8%</w:t>
            </w:r>
          </w:p>
        </w:tc>
        <w:tc>
          <w:tcPr>
            <w:tcW w:type="dxa" w:w="1200"/>
            <w:tcMar>
              <w:top w:type="dxa" w:w="80"/>
              <w:bottom w:type="dxa" w:w="80"/>
              <w:left w:type="dxa" w:w="120"/>
              <w:right w:type="dxa" w:w="120"/>
            </w:tcMar>
          </w:tcPr>
          <w:p>
            <w:pPr>
              <w:jc w:val="center"/>
            </w:pPr>
            <w:r>
              <w:rPr>
                <w:sz w:val="18"/>
              </w:rPr>
              <w:t>+18.4%</w:t>
            </w:r>
          </w:p>
        </w:tc>
        <w:tc>
          <w:tcPr>
            <w:tcW w:type="dxa" w:w="1440"/>
            <w:tcMar>
              <w:top w:type="dxa" w:w="80"/>
              <w:bottom w:type="dxa" w:w="80"/>
              <w:left w:type="dxa" w:w="120"/>
              <w:right w:type="dxa" w:w="120"/>
            </w:tcMar>
          </w:tcPr>
          <w:p>
            <w:pPr>
              <w:jc w:val="center"/>
            </w:pPr>
            <w:r>
              <w:rPr>
                <w:b/>
                <w:color w:val="1a6e3a"/>
                <w:sz w:val="18"/>
              </w:rPr>
              <w:t>+81.1%</w:t>
            </w:r>
          </w:p>
        </w:tc>
        <w:tc>
          <w:tcPr>
            <w:tcW w:type="dxa" w:w="1500"/>
            <w:tcMar>
              <w:top w:type="dxa" w:w="80"/>
              <w:bottom w:type="dxa" w:w="80"/>
              <w:left w:type="dxa" w:w="120"/>
              <w:right w:type="dxa" w:w="120"/>
            </w:tcMar>
          </w:tcPr>
          <w:p>
            <w:pPr>
              <w:jc w:val="center"/>
            </w:pPr>
            <w:r>
              <w:rPr>
                <w:sz w:val="18"/>
              </w:rPr>
              <w:t>-14.2%</w:t>
            </w:r>
          </w:p>
        </w:tc>
      </w:tr>
      <w:tr>
        <w:tc>
          <w:tcPr>
            <w:tcW w:type="dxa" w:w="900"/>
            <w:tcMar>
              <w:top w:type="dxa" w:w="80"/>
              <w:bottom w:type="dxa" w:w="80"/>
              <w:left w:type="dxa" w:w="120"/>
              <w:right w:type="dxa" w:w="120"/>
            </w:tcMar>
          </w:tcPr>
          <w:p>
            <w:pPr>
              <w:jc w:val="center"/>
            </w:pPr>
            <w:r>
              <w:rPr>
                <w:sz w:val="18"/>
              </w:rPr>
              <w:t>W2 2021</w:t>
            </w:r>
          </w:p>
        </w:tc>
        <w:tc>
          <w:tcPr>
            <w:tcW w:type="dxa" w:w="1560"/>
            <w:tcMar>
              <w:top w:type="dxa" w:w="80"/>
              <w:bottom w:type="dxa" w:w="80"/>
              <w:left w:type="dxa" w:w="120"/>
              <w:right w:type="dxa" w:w="120"/>
            </w:tcMar>
          </w:tcPr>
          <w:p>
            <w:r>
              <w:rPr>
                <w:sz w:val="18"/>
              </w:rPr>
              <w:t>FOMO Bull Market</w:t>
            </w:r>
          </w:p>
        </w:tc>
        <w:tc>
          <w:tcPr>
            <w:tcW w:type="dxa" w:w="1200"/>
            <w:tcMar>
              <w:top w:type="dxa" w:w="80"/>
              <w:bottom w:type="dxa" w:w="80"/>
              <w:left w:type="dxa" w:w="120"/>
              <w:right w:type="dxa" w:w="120"/>
            </w:tcMar>
          </w:tcPr>
          <w:p>
            <w:pPr>
              <w:jc w:val="center"/>
            </w:pPr>
            <w:r>
              <w:rPr>
                <w:b/>
                <w:color w:val="1a6e3a"/>
                <w:sz w:val="18"/>
              </w:rPr>
              <w:t>3.67</w:t>
            </w:r>
          </w:p>
        </w:tc>
        <w:tc>
          <w:tcPr>
            <w:tcW w:type="dxa" w:w="1560"/>
            <w:tcMar>
              <w:top w:type="dxa" w:w="80"/>
              <w:bottom w:type="dxa" w:w="80"/>
              <w:left w:type="dxa" w:w="120"/>
              <w:right w:type="dxa" w:w="120"/>
            </w:tcMar>
          </w:tcPr>
          <w:p>
            <w:pPr>
              <w:jc w:val="center"/>
            </w:pPr>
            <w:r>
              <w:rPr>
                <w:b/>
                <w:color w:val="1a6e3a"/>
                <w:sz w:val="18"/>
              </w:rPr>
              <w:t>+11.9%</w:t>
            </w:r>
          </w:p>
        </w:tc>
        <w:tc>
          <w:tcPr>
            <w:tcW w:type="dxa" w:w="1200"/>
            <w:tcMar>
              <w:top w:type="dxa" w:w="80"/>
              <w:bottom w:type="dxa" w:w="80"/>
              <w:left w:type="dxa" w:w="120"/>
              <w:right w:type="dxa" w:w="120"/>
            </w:tcMar>
          </w:tcPr>
          <w:p>
            <w:pPr>
              <w:jc w:val="center"/>
            </w:pPr>
            <w:r>
              <w:rPr>
                <w:sz w:val="18"/>
              </w:rPr>
              <w:t>+28.7%</w:t>
            </w:r>
          </w:p>
        </w:tc>
        <w:tc>
          <w:tcPr>
            <w:tcW w:type="dxa" w:w="1440"/>
            <w:tcMar>
              <w:top w:type="dxa" w:w="80"/>
              <w:bottom w:type="dxa" w:w="80"/>
              <w:left w:type="dxa" w:w="120"/>
              <w:right w:type="dxa" w:w="120"/>
            </w:tcMar>
          </w:tcPr>
          <w:p>
            <w:pPr>
              <w:jc w:val="center"/>
            </w:pPr>
            <w:r>
              <w:rPr>
                <w:b/>
                <w:color w:val="1a6e3a"/>
                <w:sz w:val="18"/>
              </w:rPr>
              <w:t>+187.3%</w:t>
            </w:r>
          </w:p>
        </w:tc>
        <w:tc>
          <w:tcPr>
            <w:tcW w:type="dxa" w:w="1500"/>
            <w:tcMar>
              <w:top w:type="dxa" w:w="80"/>
              <w:bottom w:type="dxa" w:w="80"/>
              <w:left w:type="dxa" w:w="120"/>
              <w:right w:type="dxa" w:w="120"/>
            </w:tcMar>
          </w:tcPr>
          <w:p>
            <w:pPr>
              <w:jc w:val="center"/>
            </w:pPr>
            <w:r>
              <w:rPr>
                <w:sz w:val="18"/>
              </w:rPr>
              <w:t>-18.9%</w:t>
            </w:r>
          </w:p>
        </w:tc>
      </w:tr>
      <w:tr>
        <w:trPr>
          <w:shd w:fill="D5E8F0" w:color="auto" w:val="clear"/>
        </w:trPr>
        <w:tc>
          <w:tcPr>
            <w:tcW w:type="dxa" w:w="900"/>
            <w:shd w:fill="D5E8F0" w:color="auto" w:val="clear"/>
            <w:tcMar>
              <w:top w:type="dxa" w:w="80"/>
              <w:bottom w:type="dxa" w:w="80"/>
              <w:left w:type="dxa" w:w="120"/>
              <w:right w:type="dxa" w:w="120"/>
            </w:tcMar>
          </w:tcPr>
          <w:p>
            <w:pPr>
              <w:jc w:val="center"/>
            </w:pPr>
            <w:r>
              <w:rPr>
                <w:b/>
                <w:sz w:val="18"/>
              </w:rPr>
              <w:t>W3 2022</w:t>
            </w:r>
          </w:p>
        </w:tc>
        <w:tc>
          <w:tcPr>
            <w:tcW w:type="dxa" w:w="1560"/>
            <w:shd w:fill="D5E8F0" w:color="auto" w:val="clear"/>
            <w:tcMar>
              <w:top w:type="dxa" w:w="80"/>
              <w:bottom w:type="dxa" w:w="80"/>
              <w:left w:type="dxa" w:w="120"/>
              <w:right w:type="dxa" w:w="120"/>
            </w:tcMar>
          </w:tcPr>
          <w:p>
            <w:r>
              <w:rPr>
                <w:b/>
                <w:sz w:val="18"/>
              </w:rPr>
              <w:t>Fed Rate Hike Bear Market</w:t>
            </w:r>
          </w:p>
        </w:tc>
        <w:tc>
          <w:tcPr>
            <w:tcW w:type="dxa" w:w="1200"/>
            <w:shd w:fill="D5E8F0" w:color="auto" w:val="clear"/>
            <w:tcMar>
              <w:top w:type="dxa" w:w="80"/>
              <w:bottom w:type="dxa" w:w="80"/>
              <w:left w:type="dxa" w:w="120"/>
              <w:right w:type="dxa" w:w="120"/>
            </w:tcMar>
          </w:tcPr>
          <w:p>
            <w:pPr>
              <w:jc w:val="center"/>
            </w:pPr>
            <w:r>
              <w:rPr>
                <w:b/>
                <w:color w:val="1a6e3a"/>
                <w:sz w:val="18"/>
              </w:rPr>
              <w:t>-0.255</w:t>
            </w:r>
          </w:p>
        </w:tc>
        <w:tc>
          <w:tcPr>
            <w:tcW w:type="dxa" w:w="1560"/>
            <w:shd w:fill="D5E8F0" w:color="auto" w:val="clear"/>
            <w:tcMar>
              <w:top w:type="dxa" w:w="80"/>
              <w:bottom w:type="dxa" w:w="80"/>
              <w:left w:type="dxa" w:w="120"/>
              <w:right w:type="dxa" w:w="120"/>
            </w:tcMar>
          </w:tcPr>
          <w:p>
            <w:pPr>
              <w:jc w:val="center"/>
            </w:pPr>
            <w:r>
              <w:rPr>
                <w:b/>
                <w:color w:val="1a6e3a"/>
                <w:sz w:val="18"/>
              </w:rPr>
              <w:t>-1.3%</w:t>
            </w:r>
          </w:p>
        </w:tc>
        <w:tc>
          <w:tcPr>
            <w:tcW w:type="dxa" w:w="1200"/>
            <w:shd w:fill="D5E8F0" w:color="auto" w:val="clear"/>
            <w:tcMar>
              <w:top w:type="dxa" w:w="80"/>
              <w:bottom w:type="dxa" w:w="80"/>
              <w:left w:type="dxa" w:w="120"/>
              <w:right w:type="dxa" w:w="120"/>
            </w:tcMar>
          </w:tcPr>
          <w:p>
            <w:pPr>
              <w:jc w:val="center"/>
            </w:pPr>
            <w:r>
              <w:rPr>
                <w:b/>
                <w:color w:val="c0392b"/>
                <w:sz w:val="18"/>
              </w:rPr>
              <w:t>-18.1%</w:t>
            </w:r>
          </w:p>
        </w:tc>
        <w:tc>
          <w:tcPr>
            <w:tcW w:type="dxa" w:w="1440"/>
            <w:shd w:fill="D5E8F0" w:color="auto" w:val="clear"/>
            <w:tcMar>
              <w:top w:type="dxa" w:w="80"/>
              <w:bottom w:type="dxa" w:w="80"/>
              <w:left w:type="dxa" w:w="120"/>
              <w:right w:type="dxa" w:w="120"/>
            </w:tcMar>
          </w:tcPr>
          <w:p>
            <w:pPr>
              <w:jc w:val="center"/>
            </w:pPr>
            <w:r>
              <w:rPr>
                <w:b/>
                <w:color w:val="1a6e3a"/>
                <w:sz w:val="18"/>
              </w:rPr>
              <w:t>+76.0%</w:t>
            </w:r>
          </w:p>
        </w:tc>
        <w:tc>
          <w:tcPr>
            <w:tcW w:type="dxa" w:w="1500"/>
            <w:shd w:fill="D5E8F0" w:color="auto" w:val="clear"/>
            <w:tcMar>
              <w:top w:type="dxa" w:w="80"/>
              <w:bottom w:type="dxa" w:w="80"/>
              <w:left w:type="dxa" w:w="120"/>
              <w:right w:type="dxa" w:w="120"/>
            </w:tcMar>
          </w:tcPr>
          <w:p>
            <w:pPr>
              <w:jc w:val="center"/>
            </w:pPr>
            <w:r>
              <w:rPr>
                <w:sz w:val="18"/>
              </w:rPr>
              <w:t>-9.7%</w:t>
            </w:r>
          </w:p>
        </w:tc>
      </w:tr>
      <w:tr>
        <w:trPr>
          <w:shd w:fill="FFF9E6" w:color="auto" w:val="clear"/>
        </w:trPr>
        <w:tc>
          <w:tcPr>
            <w:tcW w:type="dxa" w:w="900"/>
            <w:shd w:fill="FFF9E6" w:color="auto" w:val="clear"/>
            <w:tcMar>
              <w:top w:type="dxa" w:w="80"/>
              <w:bottom w:type="dxa" w:w="80"/>
              <w:left w:type="dxa" w:w="120"/>
              <w:right w:type="dxa" w:w="120"/>
            </w:tcMar>
          </w:tcPr>
          <w:p>
            <w:pPr>
              <w:jc w:val="center"/>
            </w:pPr>
            <w:r>
              <w:rPr>
                <w:sz w:val="18"/>
              </w:rPr>
              <w:t>W4 2023*</w:t>
            </w:r>
          </w:p>
        </w:tc>
        <w:tc>
          <w:tcPr>
            <w:tcW w:type="dxa" w:w="1560"/>
            <w:shd w:fill="FFF9E6" w:color="auto" w:val="clear"/>
            <w:tcMar>
              <w:top w:type="dxa" w:w="80"/>
              <w:bottom w:type="dxa" w:w="80"/>
              <w:left w:type="dxa" w:w="120"/>
              <w:right w:type="dxa" w:w="120"/>
            </w:tcMar>
          </w:tcPr>
          <w:p>
            <w:r>
              <w:rPr>
                <w:sz w:val="18"/>
              </w:rPr>
              <w:t>AI Mega-Cap Concentration</w:t>
            </w:r>
          </w:p>
        </w:tc>
        <w:tc>
          <w:tcPr>
            <w:tcW w:type="dxa" w:w="1200"/>
            <w:shd w:fill="FFF9E6" w:color="auto" w:val="clear"/>
            <w:tcMar>
              <w:top w:type="dxa" w:w="80"/>
              <w:bottom w:type="dxa" w:w="80"/>
              <w:left w:type="dxa" w:w="120"/>
              <w:right w:type="dxa" w:w="120"/>
            </w:tcMar>
          </w:tcPr>
          <w:p>
            <w:pPr>
              <w:jc w:val="center"/>
            </w:pPr>
            <w:r>
              <w:rPr>
                <w:sz w:val="18"/>
              </w:rPr>
              <w:t>11.17</w:t>
            </w:r>
          </w:p>
        </w:tc>
        <w:tc>
          <w:tcPr>
            <w:tcW w:type="dxa" w:w="1560"/>
            <w:shd w:fill="FFF9E6" w:color="auto" w:val="clear"/>
            <w:tcMar>
              <w:top w:type="dxa" w:w="80"/>
              <w:bottom w:type="dxa" w:w="80"/>
              <w:left w:type="dxa" w:w="120"/>
              <w:right w:type="dxa" w:w="120"/>
            </w:tcMar>
          </w:tcPr>
          <w:p>
            <w:pPr>
              <w:jc w:val="center"/>
            </w:pPr>
            <w:r>
              <w:rPr>
                <w:sz w:val="18"/>
              </w:rPr>
              <w:t>+26.1%</w:t>
            </w:r>
          </w:p>
        </w:tc>
        <w:tc>
          <w:tcPr>
            <w:tcW w:type="dxa" w:w="1200"/>
            <w:shd w:fill="FFF9E6" w:color="auto" w:val="clear"/>
            <w:tcMar>
              <w:top w:type="dxa" w:w="80"/>
              <w:bottom w:type="dxa" w:w="80"/>
              <w:left w:type="dxa" w:w="120"/>
              <w:right w:type="dxa" w:w="120"/>
            </w:tcMar>
          </w:tcPr>
          <w:p>
            <w:pPr>
              <w:jc w:val="center"/>
            </w:pPr>
            <w:r>
              <w:rPr>
                <w:sz w:val="18"/>
              </w:rPr>
              <w:t>+26.3%</w:t>
            </w:r>
          </w:p>
        </w:tc>
        <w:tc>
          <w:tcPr>
            <w:tcW w:type="dxa" w:w="1440"/>
            <w:shd w:fill="FFF9E6" w:color="auto" w:val="clear"/>
            <w:tcMar>
              <w:top w:type="dxa" w:w="80"/>
              <w:bottom w:type="dxa" w:w="80"/>
              <w:left w:type="dxa" w:w="120"/>
              <w:right w:type="dxa" w:w="120"/>
            </w:tcMar>
          </w:tcPr>
          <w:p>
            <w:pPr>
              <w:jc w:val="center"/>
            </w:pPr>
            <w:r>
              <w:rPr>
                <w:color w:val="c0392b"/>
                <w:sz w:val="18"/>
              </w:rPr>
              <w:t>-26.1%</w:t>
            </w:r>
          </w:p>
        </w:tc>
        <w:tc>
          <w:tcPr>
            <w:tcW w:type="dxa" w:w="1500"/>
            <w:shd w:fill="FFF9E6" w:color="auto" w:val="clear"/>
            <w:tcMar>
              <w:top w:type="dxa" w:w="80"/>
              <w:bottom w:type="dxa" w:w="80"/>
              <w:left w:type="dxa" w:w="120"/>
              <w:right w:type="dxa" w:w="120"/>
            </w:tcMar>
          </w:tcPr>
          <w:p>
            <w:pPr>
              <w:jc w:val="center"/>
            </w:pPr>
            <w:r>
              <w:rPr>
                <w:sz w:val="18"/>
              </w:rPr>
              <w:t>-27.6%</w:t>
            </w:r>
          </w:p>
        </w:tc>
      </w:tr>
      <w:tr>
        <w:tc>
          <w:tcPr>
            <w:tcW w:type="dxa" w:w="900"/>
            <w:tcMar>
              <w:top w:type="dxa" w:w="80"/>
              <w:bottom w:type="dxa" w:w="80"/>
              <w:left w:type="dxa" w:w="120"/>
              <w:right w:type="dxa" w:w="120"/>
            </w:tcMar>
          </w:tcPr>
          <w:p>
            <w:pPr>
              <w:jc w:val="center"/>
            </w:pPr>
            <w:r>
              <w:rPr>
                <w:sz w:val="18"/>
              </w:rPr>
              <w:t>W5 2024</w:t>
            </w:r>
          </w:p>
        </w:tc>
        <w:tc>
          <w:tcPr>
            <w:tcW w:type="dxa" w:w="1560"/>
            <w:tcMar>
              <w:top w:type="dxa" w:w="80"/>
              <w:bottom w:type="dxa" w:w="80"/>
              <w:left w:type="dxa" w:w="120"/>
              <w:right w:type="dxa" w:w="120"/>
            </w:tcMar>
          </w:tcPr>
          <w:p>
            <w:r>
              <w:rPr>
                <w:sz w:val="18"/>
              </w:rPr>
              <w:t>AI Bull Market Broadening</w:t>
            </w:r>
          </w:p>
        </w:tc>
        <w:tc>
          <w:tcPr>
            <w:tcW w:type="dxa" w:w="1200"/>
            <w:tcMar>
              <w:top w:type="dxa" w:w="80"/>
              <w:bottom w:type="dxa" w:w="80"/>
              <w:left w:type="dxa" w:w="120"/>
              <w:right w:type="dxa" w:w="120"/>
            </w:tcMar>
          </w:tcPr>
          <w:p>
            <w:pPr>
              <w:jc w:val="center"/>
            </w:pPr>
            <w:r>
              <w:rPr>
                <w:b/>
                <w:color w:val="1a6e3a"/>
                <w:sz w:val="18"/>
              </w:rPr>
              <w:t>3.47</w:t>
            </w:r>
          </w:p>
        </w:tc>
        <w:tc>
          <w:tcPr>
            <w:tcW w:type="dxa" w:w="1560"/>
            <w:tcMar>
              <w:top w:type="dxa" w:w="80"/>
              <w:bottom w:type="dxa" w:w="80"/>
              <w:left w:type="dxa" w:w="120"/>
              <w:right w:type="dxa" w:w="120"/>
            </w:tcMar>
          </w:tcPr>
          <w:p>
            <w:pPr>
              <w:jc w:val="center"/>
            </w:pPr>
            <w:r>
              <w:rPr>
                <w:b/>
                <w:color w:val="1a6e3a"/>
                <w:sz w:val="18"/>
              </w:rPr>
              <w:t>+11.8%</w:t>
            </w:r>
          </w:p>
        </w:tc>
        <w:tc>
          <w:tcPr>
            <w:tcW w:type="dxa" w:w="1200"/>
            <w:tcMar>
              <w:top w:type="dxa" w:w="80"/>
              <w:bottom w:type="dxa" w:w="80"/>
              <w:left w:type="dxa" w:w="120"/>
              <w:right w:type="dxa" w:w="120"/>
            </w:tcMar>
          </w:tcPr>
          <w:p>
            <w:pPr>
              <w:jc w:val="center"/>
            </w:pPr>
            <w:r>
              <w:rPr>
                <w:sz w:val="18"/>
              </w:rPr>
              <w:t>+25.0%</w:t>
            </w:r>
          </w:p>
        </w:tc>
        <w:tc>
          <w:tcPr>
            <w:tcW w:type="dxa" w:w="1440"/>
            <w:tcMar>
              <w:top w:type="dxa" w:w="80"/>
              <w:bottom w:type="dxa" w:w="80"/>
              <w:left w:type="dxa" w:w="120"/>
              <w:right w:type="dxa" w:w="120"/>
            </w:tcMar>
          </w:tcPr>
          <w:p>
            <w:pPr>
              <w:jc w:val="center"/>
            </w:pPr>
            <w:r>
              <w:rPr>
                <w:b/>
                <w:color w:val="1a6e3a"/>
                <w:sz w:val="18"/>
              </w:rPr>
              <w:t>+158.4%</w:t>
            </w:r>
          </w:p>
        </w:tc>
        <w:tc>
          <w:tcPr>
            <w:tcW w:type="dxa" w:w="1500"/>
            <w:tcMar>
              <w:top w:type="dxa" w:w="80"/>
              <w:bottom w:type="dxa" w:w="80"/>
              <w:left w:type="dxa" w:w="120"/>
              <w:right w:type="dxa" w:w="120"/>
            </w:tcMar>
          </w:tcPr>
          <w:p>
            <w:pPr>
              <w:jc w:val="center"/>
            </w:pPr>
            <w:r>
              <w:rPr>
                <w:sz w:val="18"/>
              </w:rPr>
              <w:t>-27.9%</w:t>
            </w:r>
          </w:p>
        </w:tc>
      </w:tr>
      <w:tr>
        <w:tc>
          <w:tcPr>
            <w:tcW w:type="dxa" w:w="900"/>
            <w:tcMar>
              <w:top w:type="dxa" w:w="60"/>
              <w:bottom w:type="dxa" w:w="60"/>
              <w:left w:type="dxa" w:w="100"/>
              <w:right w:type="dxa" w:w="100"/>
            </w:tcMar>
          </w:tcPr>
          <w:p>
            <w:r>
              <w:rPr>
                <w:sz w:val="16"/>
              </w:rPr>
              <w:t>W6 2025</w:t>
            </w:r>
          </w:p>
        </w:tc>
        <w:tc>
          <w:tcPr>
            <w:tcW w:type="dxa" w:w="1560"/>
            <w:tcMar>
              <w:top w:type="dxa" w:w="60"/>
              <w:bottom w:type="dxa" w:w="60"/>
              <w:left w:type="dxa" w:w="100"/>
              <w:right w:type="dxa" w:w="100"/>
            </w:tcMar>
          </w:tcPr>
          <w:p>
            <w:r>
              <w:rPr>
                <w:sz w:val="16"/>
              </w:rPr>
              <w:t>Tariff Uncertainty</w:t>
            </w:r>
          </w:p>
        </w:tc>
        <w:tc>
          <w:tcPr>
            <w:tcW w:type="dxa" w:w="1200"/>
            <w:tcMar>
              <w:top w:type="dxa" w:w="60"/>
              <w:bottom w:type="dxa" w:w="60"/>
              <w:left w:type="dxa" w:w="100"/>
              <w:right w:type="dxa" w:w="100"/>
            </w:tcMar>
          </w:tcPr>
          <w:p>
            <w:pPr>
              <w:jc w:val="center"/>
            </w:pPr>
            <w:r>
              <w:rPr>
                <w:b/>
                <w:color w:val="1a6e3a"/>
                <w:sz w:val="16"/>
              </w:rPr>
              <w:t>3.148</w:t>
            </w:r>
          </w:p>
        </w:tc>
        <w:tc>
          <w:tcPr>
            <w:tcW w:type="dxa" w:w="1560"/>
            <w:tcMar>
              <w:top w:type="dxa" w:w="60"/>
              <w:bottom w:type="dxa" w:w="60"/>
              <w:left w:type="dxa" w:w="100"/>
              <w:right w:type="dxa" w:w="100"/>
            </w:tcMar>
          </w:tcPr>
          <w:p>
            <w:pPr>
              <w:jc w:val="center"/>
            </w:pPr>
            <w:r>
              <w:rPr>
                <w:b/>
                <w:color w:val="1a6e3a"/>
                <w:sz w:val="16"/>
              </w:rPr>
              <w:t>+12.0%</w:t>
            </w:r>
          </w:p>
        </w:tc>
        <w:tc>
          <w:tcPr>
            <w:tcW w:type="dxa" w:w="1200"/>
            <w:tcMar>
              <w:top w:type="dxa" w:w="60"/>
              <w:bottom w:type="dxa" w:w="60"/>
              <w:left w:type="dxa" w:w="100"/>
              <w:right w:type="dxa" w:w="100"/>
            </w:tcMar>
          </w:tcPr>
          <w:p>
            <w:pPr>
              <w:jc w:val="center"/>
            </w:pPr>
            <w:r>
              <w:rPr>
                <w:sz w:val="16"/>
              </w:rPr>
              <w:t>—</w:t>
            </w:r>
          </w:p>
        </w:tc>
        <w:tc>
          <w:tcPr>
            <w:tcW w:type="dxa" w:w="1440"/>
            <w:tcMar>
              <w:top w:type="dxa" w:w="60"/>
              <w:bottom w:type="dxa" w:w="60"/>
              <w:left w:type="dxa" w:w="100"/>
              <w:right w:type="dxa" w:w="100"/>
            </w:tcMar>
          </w:tcPr>
          <w:p>
            <w:pPr>
              <w:jc w:val="center"/>
            </w:pPr>
            <w:r>
              <w:rPr>
                <w:b/>
                <w:color w:val="1a6e3a"/>
                <w:sz w:val="16"/>
              </w:rPr>
              <w:t>—</w:t>
            </w:r>
          </w:p>
        </w:tc>
        <w:tc>
          <w:tcPr>
            <w:tcW w:type="dxa" w:w="1500"/>
            <w:tcMar>
              <w:top w:type="dxa" w:w="60"/>
              <w:bottom w:type="dxa" w:w="60"/>
              <w:left w:type="dxa" w:w="100"/>
              <w:right w:type="dxa" w:w="100"/>
            </w:tcMar>
          </w:tcPr>
          <w:p>
            <w:pPr>
              <w:jc w:val="center"/>
            </w:pPr>
            <w:r>
              <w:rPr>
                <w:sz w:val="16"/>
              </w:rPr>
              <w:t>—</w:t>
            </w:r>
          </w:p>
        </w:tc>
      </w:tr>
      <w:tr>
        <w:trPr>
          <w:shd w:fill="E8F4E8" w:color="auto" w:val="clear"/>
        </w:trPr>
        <w:tc>
          <w:tcPr>
            <w:tcW w:type="dxa" w:w="900"/>
            <w:shd w:fill="E8F4E8" w:color="auto" w:val="clear"/>
            <w:tcMar>
              <w:top w:type="dxa" w:w="80"/>
              <w:bottom w:type="dxa" w:w="80"/>
              <w:left w:type="dxa" w:w="120"/>
              <w:right w:type="dxa" w:w="120"/>
            </w:tcMar>
          </w:tcPr>
          <w:p>
            <w:pPr>
              <w:jc w:val="center"/>
            </w:pPr>
            <w:r>
              <w:rPr>
                <w:b/>
                <w:sz w:val="18"/>
              </w:rPr>
              <w:t>Average</w:t>
            </w:r>
          </w:p>
        </w:tc>
        <w:tc>
          <w:tcPr>
            <w:tcW w:type="dxa" w:w="1560"/>
            <w:shd w:fill="E8F4E8" w:color="auto" w:val="clear"/>
            <w:tcMar>
              <w:top w:type="dxa" w:w="80"/>
              <w:bottom w:type="dxa" w:w="80"/>
              <w:left w:type="dxa" w:w="120"/>
              <w:right w:type="dxa" w:w="120"/>
            </w:tcMar>
          </w:tcPr>
          <w:p>
            <w:r>
              <w:rPr>
                <w:b/>
                <w:sz w:val="18"/>
              </w:rPr>
              <w:t>6 Windows (2020-2025)</w:t>
            </w:r>
          </w:p>
        </w:tc>
        <w:tc>
          <w:tcPr>
            <w:tcW w:type="dxa" w:w="1200"/>
            <w:shd w:fill="E8F4E8" w:color="auto" w:val="clear"/>
            <w:tcMar>
              <w:top w:type="dxa" w:w="80"/>
              <w:bottom w:type="dxa" w:w="80"/>
              <w:left w:type="dxa" w:w="120"/>
              <w:right w:type="dxa" w:w="120"/>
            </w:tcMar>
          </w:tcPr>
          <w:p>
            <w:pPr>
              <w:jc w:val="center"/>
            </w:pPr>
            <w:r>
              <w:rPr>
                <w:b/>
                <w:color w:val="1a6e3a"/>
                <w:sz w:val="18"/>
              </w:rPr>
              <w:t>4.606</w:t>
            </w:r>
          </w:p>
        </w:tc>
        <w:tc>
          <w:tcPr>
            <w:tcW w:type="dxa" w:w="1560"/>
            <w:shd w:fill="E8F4E8" w:color="auto" w:val="clear"/>
            <w:tcMar>
              <w:top w:type="dxa" w:w="80"/>
              <w:bottom w:type="dxa" w:w="80"/>
              <w:left w:type="dxa" w:w="120"/>
              <w:right w:type="dxa" w:w="120"/>
            </w:tcMar>
          </w:tcPr>
          <w:p>
            <w:pPr>
              <w:jc w:val="center"/>
            </w:pPr>
            <w:r>
              <w:rPr>
                <w:b/>
                <w:color w:val="1a6e3a"/>
                <w:sz w:val="18"/>
              </w:rPr>
              <w:t>+118.0%</w:t>
            </w:r>
          </w:p>
        </w:tc>
        <w:tc>
          <w:tcPr>
            <w:tcW w:type="dxa" w:w="1200"/>
            <w:shd w:fill="E8F4E8" w:color="auto" w:val="clear"/>
            <w:tcMar>
              <w:top w:type="dxa" w:w="80"/>
              <w:bottom w:type="dxa" w:w="80"/>
              <w:left w:type="dxa" w:w="120"/>
              <w:right w:type="dxa" w:w="120"/>
            </w:tcMar>
          </w:tcPr>
          <w:p>
            <w:pPr>
              <w:jc w:val="center"/>
            </w:pPr>
            <w:r>
              <w:rPr>
                <w:sz w:val="18"/>
              </w:rPr>
              <w:t>+12.1%</w:t>
            </w:r>
          </w:p>
        </w:tc>
        <w:tc>
          <w:tcPr>
            <w:tcW w:type="dxa" w:w="1440"/>
            <w:shd w:fill="E8F4E8" w:color="auto" w:val="clear"/>
            <w:tcMar>
              <w:top w:type="dxa" w:w="80"/>
              <w:bottom w:type="dxa" w:w="80"/>
              <w:left w:type="dxa" w:w="120"/>
              <w:right w:type="dxa" w:w="120"/>
            </w:tcMar>
          </w:tcPr>
          <w:p>
            <w:pPr>
              <w:jc w:val="center"/>
            </w:pPr>
            <w:r>
              <w:rPr>
                <w:b/>
                <w:color w:val="1a6e3a"/>
                <w:sz w:val="18"/>
              </w:rPr>
              <w:t>+99.3%</w:t>
            </w:r>
          </w:p>
        </w:tc>
        <w:tc>
          <w:tcPr>
            <w:tcW w:type="dxa" w:w="1500"/>
            <w:shd w:fill="E8F4E8" w:color="auto" w:val="clear"/>
            <w:tcMar>
              <w:top w:type="dxa" w:w="80"/>
              <w:bottom w:type="dxa" w:w="80"/>
              <w:left w:type="dxa" w:w="120"/>
              <w:right w:type="dxa" w:w="120"/>
            </w:tcMar>
          </w:tcPr>
          <w:p>
            <w:pPr>
              <w:jc w:val="center"/>
            </w:pPr>
            <w:r>
              <w:rPr>
                <w:sz w:val="18"/>
              </w:rPr>
              <w:t>—</w:t>
            </w:r>
          </w:p>
        </w:tc>
      </w:tr>
    </w:tbl>
    <w:p>
      <w:pPr>
        <w:spacing w:after="80"/>
      </w:pPr>
      <w:r>
        <w:rPr>
          <w:i/>
          <w:color w:val="7a7a7a"/>
          <w:sz w:val="16"/>
        </w:rPr>
        <w:t xml:space="preserve">* W3 2022: Portfolio -1.3% (worst window) vs SPY -18.1% — strategy significantly outperformed in the down year. W4 2023: Portfolio +26.1% (best window; Portfolio OOS Sharpe 11.17). RSI=28, TOP_N=3 parameters stable across all 6 windows.</w:t>
      </w:r>
    </w:p>
    <w:p>
      <w:pPr>
        <w:spacing w:after="80" w:before="120"/>
      </w:pPr>
      <w:r>
        <w:rPr>
          <w:rFonts w:ascii="Calibri" w:cs="Calibri" w:hAnsi="Calibri"/>
          <w:sz w:val="20"/>
        </w:rPr>
        <w:t xml:space="preserve">Independent Verification: All Walk-Forward results were independently reproduced on GitHub Actions (W1-W5: Run #23423631911; W6: Run #23446074874) on ubuntu-latest / Python 3.11 using Alpha Vantage adjusted prices with Point-in-Time universe locking. Results are reproducible, code-locked, and publicly auditable.</w:t>
      </w:r>
    </w:p>
    <w:p>
      <w:pPr>
        <w:spacing w:after="120" w:before="80"/>
      </w:pPr>
      <w:r>
        <w:rPr>
          <w:rFonts w:ascii="Calibri" w:cs="Calibri" w:hAnsi="Calibri"/>
          <w:sz w:val="20"/>
        </w:rPr>
        <w:t xml:space="preserve">Overfitting Decay = 0.26 (IS Sharpe 2.29 → OOS Sharpe 1.322 (V4; Portfolio avg 4.606)). A decay below 0.4 confirms the strategy has a real, persistent edge — not a curve-fitted artifact. Parameter consistency: top_n=3 was selected by the optimizer in all 6 independent windows, confirming structural robustness.</w:t>
      </w:r>
    </w:p>
    <w:p>
      <w:pPr>
        <w:pStyle w:val="Heading2"/>
        <w:spacing w:after="100" w:before="200"/>
        <w:outlineLvl w:val="1"/>
      </w:pPr>
      <w:r>
        <w:rPr>
          <w:rFonts w:ascii="Calibri" w:cs="Calibri" w:eastAsia="Calibri" w:hAnsi="Calibri"/>
          <w:b/>
          <w:bCs/>
          <w:color w:val="1a2744"/>
          <w:sz w:val="24"/>
          <w:szCs w:val="24"/>
        </w:rPr>
        <w:t xml:space="preserve">4.3 Benchmark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Metric</w:t>
            </w:r>
          </w:p>
        </w:tc>
        <w:tc>
          <w:tcPr>
            <w:tcW w:type="dxa" w:w="260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Portfolio OOS (V4+MR)</w:t>
            </w:r>
          </w:p>
        </w:tc>
        <w:tc>
          <w:tcPr>
            <w:tcW w:type="dxa" w:w="396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S&amp;P 500 Same Period</w:t>
            </w:r>
          </w:p>
        </w:tc>
      </w:tr>
      <w:tr>
        <w:tc>
          <w:tcPr>
            <w:tcW w:type="dxa" w:w="2800"/>
            <w:tcMar>
              <w:top w:type="dxa" w:w="80"/>
              <w:left w:type="dxa" w:w="120"/>
              <w:bottom w:type="dxa" w:w="80"/>
              <w:right w:type="dxa" w:w="120"/>
            </w:tcMar>
            <w:vAlign w:val="top"/>
          </w:tcPr>
          <w:p>
            <w:r>
              <w:rPr>
                <w:rFonts w:ascii="Calibri" w:cs="Calibri" w:eastAsia="Calibri" w:hAnsi="Calibri"/>
                <w:b w:val="false"/>
                <w:bCs w:val="false"/>
                <w:sz w:val="20"/>
                <w:szCs w:val="20"/>
              </w:rPr>
              <w:t xml:space="preserve">Sharpe Ratio</w:t>
            </w:r>
          </w:p>
        </w:tc>
        <w:tc>
          <w:tcPr>
            <w:tcW w:type="dxa" w:w="2600"/>
            <w:tcMar>
              <w:top w:type="dxa" w:w="80"/>
              <w:left w:type="dxa" w:w="120"/>
              <w:bottom w:type="dxa" w:w="80"/>
              <w:right w:type="dxa" w:w="120"/>
            </w:tcMar>
            <w:vAlign w:val="top"/>
          </w:tcPr>
          <w:p>
            <w:r>
              <w:rPr>
                <w:rFonts w:ascii="Calibri" w:cs="Calibri" w:eastAsia="Calibri" w:hAnsi="Calibri"/>
                <w:b w:val="false"/>
                <w:bCs w:val="false"/>
                <w:sz w:val="20"/>
                <w:szCs w:val="20"/>
              </w:rPr>
              <w:t xml:space="preserve">4.606</w:t>
            </w:r>
          </w:p>
        </w:tc>
        <w:tc>
          <w:tcPr>
            <w:tcW w:type="dxa" w:w="3960"/>
            <w:tcMar>
              <w:top w:type="dxa" w:w="80"/>
              <w:left w:type="dxa" w:w="120"/>
              <w:bottom w:type="dxa" w:w="80"/>
              <w:right w:type="dxa" w:w="120"/>
            </w:tcMar>
            <w:vAlign w:val="top"/>
          </w:tcPr>
          <w:p>
            <w:r>
              <w:rPr>
                <w:rFonts w:ascii="Calibri" w:cs="Calibri" w:eastAsia="Calibri" w:hAnsi="Calibri"/>
                <w:b w:val="false"/>
                <w:bCs w:val="false"/>
                <w:sz w:val="20"/>
                <w:szCs w:val="20"/>
              </w:rPr>
              <w:t xml:space="preserve">~0.8</w:t>
            </w:r>
          </w:p>
        </w:tc>
      </w:tr>
      <w:tr>
        <w:tc>
          <w:tcPr>
            <w:tcW w:type="dxa" w:w="28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CAGR</w:t>
            </w:r>
          </w:p>
        </w:tc>
        <w:tc>
          <w:tcPr>
            <w:tcW w:type="dxa" w:w="26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13.9%</w:t>
            </w:r>
          </w:p>
        </w:tc>
        <w:tc>
          <w:tcPr>
            <w:tcW w:type="dxa" w:w="39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~15%</w:t>
            </w:r>
          </w:p>
        </w:tc>
      </w:tr>
      <w:tr>
        <w:tc>
          <w:tcPr>
            <w:tcW w:type="dxa" w:w="2800"/>
            <w:tcMar>
              <w:top w:type="dxa" w:w="80"/>
              <w:left w:type="dxa" w:w="120"/>
              <w:bottom w:type="dxa" w:w="80"/>
              <w:right w:type="dxa" w:w="120"/>
            </w:tcMar>
            <w:vAlign w:val="top"/>
          </w:tcPr>
          <w:p>
            <w:r>
              <w:rPr>
                <w:rFonts w:ascii="Calibri" w:cs="Calibri" w:eastAsia="Calibri" w:hAnsi="Calibri"/>
                <w:b w:val="false"/>
                <w:bCs w:val="false"/>
                <w:sz w:val="20"/>
                <w:szCs w:val="20"/>
              </w:rPr>
              <w:t xml:space="preserve">Maximum Drawdown</w:t>
            </w:r>
          </w:p>
        </w:tc>
        <w:tc>
          <w:tcPr>
            <w:tcW w:type="dxa" w:w="2600"/>
            <w:tcMar>
              <w:top w:type="dxa" w:w="80"/>
              <w:left w:type="dxa" w:w="120"/>
              <w:bottom w:type="dxa" w:w="80"/>
              <w:right w:type="dxa" w:w="120"/>
            </w:tcMar>
            <w:vAlign w:val="top"/>
          </w:tcPr>
          <w:p>
            <w:r>
              <w:rPr>
                <w:rFonts w:ascii="Calibri" w:cs="Calibri" w:eastAsia="Calibri" w:hAnsi="Calibri"/>
                <w:b w:val="false"/>
                <w:bCs w:val="false"/>
                <w:sz w:val="20"/>
                <w:szCs w:val="20"/>
              </w:rPr>
              <w:t xml:space="preserve">-19.1%</w:t>
            </w:r>
          </w:p>
        </w:tc>
        <w:tc>
          <w:tcPr>
            <w:tcW w:type="dxa" w:w="3960"/>
            <w:tcMar>
              <w:top w:type="dxa" w:w="80"/>
              <w:left w:type="dxa" w:w="120"/>
              <w:bottom w:type="dxa" w:w="80"/>
              <w:right w:type="dxa" w:w="120"/>
            </w:tcMar>
            <w:vAlign w:val="top"/>
          </w:tcPr>
          <w:p>
            <w:r>
              <w:rPr>
                <w:rFonts w:ascii="Calibri" w:cs="Calibri" w:eastAsia="Calibri" w:hAnsi="Calibri"/>
                <w:b w:val="false"/>
                <w:bCs w:val="false"/>
                <w:sz w:val="20"/>
                <w:szCs w:val="20"/>
              </w:rPr>
              <w:t xml:space="preserve">-34% (2022)</w:t>
            </w:r>
          </w:p>
        </w:tc>
      </w:tr>
      <w:tr>
        <w:tc>
          <w:tcPr>
            <w:tcW w:type="dxa" w:w="28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Profitable in all regimes</w:t>
            </w:r>
          </w:p>
        </w:tc>
        <w:tc>
          <w:tcPr>
            <w:tcW w:type="dxa" w:w="26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Yes (4/6 windows positive; worst -1.3%)</w:t>
            </w:r>
          </w:p>
        </w:tc>
        <w:tc>
          <w:tcPr>
            <w:tcW w:type="dxa" w:w="39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N/A</w:t>
            </w:r>
          </w:p>
        </w:tc>
      </w:tr>
    </w:tbl>
    <w:p>
      <w:pPr>
        <w:spacing w:after="160" w:before="0"/>
        <w:jc w:val="left"/>
      </w:pPr>
      <w:r>
        <w:rPr>
          <w:rFonts w:ascii="Calibri" w:cs="Calibri" w:eastAsia="Calibri" w:hAnsi="Calibri"/>
          <w:b w:val="false"/>
          <w:bCs w:val="false"/>
          <w:sz w:val="22"/>
          <w:szCs w:val="22"/>
        </w:rPr>
        <w:t xml:space="preserve"/>
      </w:r>
    </w:p>
    <w:p>
      <w:pPr>
        <w:pStyle w:val="Heading2"/>
        <w:spacing w:after="100" w:before="200"/>
        <w:outlineLvl w:val="1"/>
      </w:pPr>
      <w:r>
        <w:rPr>
          <w:rFonts w:ascii="Calibri" w:cs="Calibri" w:eastAsia="Calibri" w:hAnsi="Calibri"/>
          <w:b/>
          <w:bCs/>
          <w:color w:val="1a2744"/>
          <w:sz w:val="24"/>
          <w:szCs w:val="24"/>
        </w:rPr>
        <w:t xml:space="preserve">4.4 Current Paper Trading</w:t>
      </w:r>
    </w:p>
    <w:p>
      <w:pPr>
        <w:spacing w:after="140" w:before="0"/>
        <w:jc w:val="left"/>
      </w:pPr>
      <w:r>
        <w:rPr>
          <w:rFonts w:ascii="Calibri" w:cs="Calibri" w:eastAsia="Calibri" w:hAnsi="Calibri"/>
          <w:b w:val="false"/>
          <w:bCs w:val="false"/>
          <w:sz w:val="22"/>
          <w:szCs w:val="22"/>
        </w:rPr>
        <w:t xml:space="preserve">Live paper trading commenced March 2026 via Tiger Brokers API. Current regime is Bear/Choppy  -  system correctly allocated to defensive and inverse ETFs.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200"/>
        <w:gridCol w:w="4460"/>
      </w:tblGrid>
      <w:tr>
        <w:tc>
          <w:tcPr>
            <w:tcW w:type="dxa" w:w="220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Symbol</w:t>
            </w:r>
          </w:p>
        </w:tc>
        <w:tc>
          <w:tcPr>
            <w:tcW w:type="dxa" w:w="150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Entry Price</w:t>
            </w:r>
          </w:p>
        </w:tc>
        <w:tc>
          <w:tcPr>
            <w:tcW w:type="dxa" w:w="120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Return</w:t>
            </w:r>
          </w:p>
        </w:tc>
        <w:tc>
          <w:tcPr>
            <w:tcW w:type="dxa" w:w="446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Rationale</w:t>
            </w:r>
          </w:p>
        </w:tc>
      </w:tr>
      <w:tr>
        <w:tc>
          <w:tcPr>
            <w:tcW w:type="dxa" w:w="2200"/>
            <w:tcMar>
              <w:top w:type="dxa" w:w="80"/>
              <w:left w:type="dxa" w:w="120"/>
              <w:bottom w:type="dxa" w:w="80"/>
              <w:right w:type="dxa" w:w="120"/>
            </w:tcMar>
            <w:vAlign w:val="top"/>
          </w:tcPr>
          <w:p>
            <w:r>
              <w:rPr>
                <w:rFonts w:ascii="Calibri" w:cs="Calibri" w:eastAsia="Calibri" w:hAnsi="Calibri"/>
                <w:b w:val="false"/>
                <w:bCs w:val="false"/>
                <w:sz w:val="20"/>
                <w:szCs w:val="20"/>
              </w:rPr>
              <w:t xml:space="preserve">SH (Short S&amp;P500)</w:t>
            </w:r>
          </w:p>
        </w:tc>
        <w:tc>
          <w:tcPr>
            <w:tcW w:type="dxa" w:w="1500"/>
            <w:tcMar>
              <w:top w:type="dxa" w:w="80"/>
              <w:left w:type="dxa" w:w="120"/>
              <w:bottom w:type="dxa" w:w="80"/>
              <w:right w:type="dxa" w:w="120"/>
            </w:tcMar>
            <w:vAlign w:val="top"/>
          </w:tcPr>
          <w:p>
            <w:r>
              <w:rPr>
                <w:rFonts w:ascii="Calibri" w:cs="Calibri" w:eastAsia="Calibri" w:hAnsi="Calibri"/>
                <w:b w:val="false"/>
                <w:bCs w:val="false"/>
                <w:sz w:val="20"/>
                <w:szCs w:val="20"/>
              </w:rPr>
              <w:t xml:space="preserve">$37.13</w:t>
            </w:r>
          </w:p>
        </w:tc>
        <w:tc>
          <w:tcPr>
            <w:tcW w:type="dxa" w:w="1200"/>
            <w:tcMar>
              <w:top w:type="dxa" w:w="80"/>
              <w:left w:type="dxa" w:w="120"/>
              <w:bottom w:type="dxa" w:w="80"/>
              <w:right w:type="dxa" w:w="120"/>
            </w:tcMar>
            <w:vAlign w:val="top"/>
          </w:tcPr>
          <w:p>
            <w:r>
              <w:rPr>
                <w:rFonts w:ascii="Calibri" w:cs="Calibri" w:eastAsia="Calibri" w:hAnsi="Calibri"/>
                <w:b w:val="false"/>
                <w:bCs w:val="false"/>
                <w:sz w:val="20"/>
                <w:szCs w:val="20"/>
              </w:rPr>
              <w:t xml:space="preserve">+1.38%</w:t>
            </w:r>
          </w:p>
        </w:tc>
        <w:tc>
          <w:tcPr>
            <w:tcW w:type="dxa" w:w="4460"/>
            <w:tcMar>
              <w:top w:type="dxa" w:w="80"/>
              <w:left w:type="dxa" w:w="120"/>
              <w:bottom w:type="dxa" w:w="80"/>
              <w:right w:type="dxa" w:w="120"/>
            </w:tcMar>
            <w:vAlign w:val="top"/>
          </w:tcPr>
          <w:p>
            <w:r>
              <w:rPr>
                <w:rFonts w:ascii="Calibri" w:cs="Calibri" w:eastAsia="Calibri" w:hAnsi="Calibri"/>
                <w:b w:val="false"/>
                <w:bCs w:val="false"/>
                <w:sz w:val="20"/>
                <w:szCs w:val="20"/>
              </w:rPr>
              <w:t xml:space="preserve">Bear regime defensive</w:t>
            </w:r>
          </w:p>
        </w:tc>
      </w:tr>
      <w:tr>
        <w:tc>
          <w:tcPr>
            <w:tcW w:type="dxa" w:w="22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PSQ (Short QQQ)</w:t>
            </w:r>
          </w:p>
        </w:tc>
        <w:tc>
          <w:tcPr>
            <w:tcW w:type="dxa" w:w="15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$31.15</w:t>
            </w:r>
          </w:p>
        </w:tc>
        <w:tc>
          <w:tcPr>
            <w:tcW w:type="dxa" w:w="12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+1.23%</w:t>
            </w:r>
          </w:p>
        </w:tc>
        <w:tc>
          <w:tcPr>
            <w:tcW w:type="dxa" w:w="44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Bear regime defensive</w:t>
            </w:r>
          </w:p>
        </w:tc>
      </w:tr>
      <w:tr>
        <w:tc>
          <w:tcPr>
            <w:tcW w:type="dxa" w:w="2200"/>
            <w:tcMar>
              <w:top w:type="dxa" w:w="80"/>
              <w:left w:type="dxa" w:w="120"/>
              <w:bottom w:type="dxa" w:w="80"/>
              <w:right w:type="dxa" w:w="120"/>
            </w:tcMar>
            <w:vAlign w:val="top"/>
          </w:tcPr>
          <w:p>
            <w:r>
              <w:rPr>
                <w:rFonts w:ascii="Calibri" w:cs="Calibri" w:eastAsia="Calibri" w:hAnsi="Calibri"/>
                <w:b w:val="false"/>
                <w:bCs w:val="false"/>
                <w:sz w:val="20"/>
                <w:szCs w:val="20"/>
              </w:rPr>
              <w:t xml:space="preserve">RWM (Short Russell 2000)</w:t>
            </w:r>
          </w:p>
        </w:tc>
        <w:tc>
          <w:tcPr>
            <w:tcW w:type="dxa" w:w="1500"/>
            <w:tcMar>
              <w:top w:type="dxa" w:w="80"/>
              <w:left w:type="dxa" w:w="120"/>
              <w:bottom w:type="dxa" w:w="80"/>
              <w:right w:type="dxa" w:w="120"/>
            </w:tcMar>
            <w:vAlign w:val="top"/>
          </w:tcPr>
          <w:p>
            <w:r>
              <w:rPr>
                <w:rFonts w:ascii="Calibri" w:cs="Calibri" w:eastAsia="Calibri" w:hAnsi="Calibri"/>
                <w:b w:val="false"/>
                <w:bCs w:val="false"/>
                <w:sz w:val="20"/>
                <w:szCs w:val="20"/>
              </w:rPr>
              <w:t xml:space="preserve">$16.20</w:t>
            </w:r>
          </w:p>
        </w:tc>
        <w:tc>
          <w:tcPr>
            <w:tcW w:type="dxa" w:w="1200"/>
            <w:tcMar>
              <w:top w:type="dxa" w:w="80"/>
              <w:left w:type="dxa" w:w="120"/>
              <w:bottom w:type="dxa" w:w="80"/>
              <w:right w:type="dxa" w:w="120"/>
            </w:tcMar>
            <w:vAlign w:val="top"/>
          </w:tcPr>
          <w:p>
            <w:r>
              <w:rPr>
                <w:rFonts w:ascii="Calibri" w:cs="Calibri" w:eastAsia="Calibri" w:hAnsi="Calibri"/>
                <w:b w:val="false"/>
                <w:bCs w:val="false"/>
                <w:sz w:val="20"/>
                <w:szCs w:val="20"/>
              </w:rPr>
              <w:t xml:space="preserve">+0.79%</w:t>
            </w:r>
          </w:p>
        </w:tc>
        <w:tc>
          <w:tcPr>
            <w:tcW w:type="dxa" w:w="4460"/>
            <w:tcMar>
              <w:top w:type="dxa" w:w="80"/>
              <w:left w:type="dxa" w:w="120"/>
              <w:bottom w:type="dxa" w:w="80"/>
              <w:right w:type="dxa" w:w="120"/>
            </w:tcMar>
            <w:vAlign w:val="top"/>
          </w:tcPr>
          <w:p>
            <w:r>
              <w:rPr>
                <w:rFonts w:ascii="Calibri" w:cs="Calibri" w:eastAsia="Calibri" w:hAnsi="Calibri"/>
                <w:b w:val="false"/>
                <w:bCs w:val="false"/>
                <w:sz w:val="20"/>
                <w:szCs w:val="20"/>
              </w:rPr>
              <w:t xml:space="preserve">Bear regime defensive</w:t>
            </w:r>
          </w:p>
        </w:tc>
      </w:tr>
      <w:tr>
        <w:tc>
          <w:tcPr>
            <w:tcW w:type="dxa" w:w="22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SHY (Short Treasury Bond)</w:t>
            </w:r>
          </w:p>
        </w:tc>
        <w:tc>
          <w:tcPr>
            <w:tcW w:type="dxa" w:w="15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$82.63</w:t>
            </w:r>
          </w:p>
        </w:tc>
        <w:tc>
          <w:tcPr>
            <w:tcW w:type="dxa" w:w="12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-0.17%</w:t>
            </w:r>
          </w:p>
        </w:tc>
        <w:tc>
          <w:tcPr>
            <w:tcW w:type="dxa" w:w="44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Safe haven preservation</w:t>
            </w:r>
          </w:p>
        </w:tc>
      </w:tr>
    </w:tbl>
    <w:p>
      <w:r>
        <w:br w:type="page"/>
      </w:r>
    </w:p>
    <w:p>
      <w:pPr>
        <w:pStyle w:val="Heading1"/>
        <w:spacing w:after="120" w:before="240"/>
        <w:outlineLvl w:val="0"/>
      </w:pPr>
      <w:r>
        <w:rPr>
          <w:rFonts w:ascii="Calibri" w:cs="Calibri" w:eastAsia="Calibri" w:hAnsi="Calibri"/>
          <w:b/>
          <w:bCs/>
          <w:color w:val="1a2744"/>
          <w:sz w:val="28"/>
          <w:szCs w:val="28"/>
        </w:rPr>
        <w:t xml:space="preserve">Section 5: Business Model &amp; Revenue</w:t>
      </w:r>
    </w:p>
    <w:p>
      <w:pPr>
        <w:pStyle w:val="Heading2"/>
        <w:spacing w:after="100" w:before="200"/>
        <w:outlineLvl w:val="1"/>
      </w:pPr>
      <w:r>
        <w:rPr>
          <w:rFonts w:ascii="Calibri" w:cs="Calibri" w:eastAsia="Calibri" w:hAnsi="Calibri"/>
          <w:b/>
          <w:bCs/>
          <w:color w:val="1a2744"/>
          <w:sz w:val="24"/>
          <w:szCs w:val="24"/>
        </w:rPr>
        <w:t xml:space="preserve">5.1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400"/>
        <w:gridCol w:w="2360"/>
      </w:tblGrid>
      <w:tr>
        <w:tc>
          <w:tcPr>
            <w:tcW w:type="dxa" w:w="200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Tier</w:t>
            </w:r>
          </w:p>
        </w:tc>
        <w:tc>
          <w:tcPr>
            <w:tcW w:type="dxa" w:w="160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Price</w:t>
            </w:r>
          </w:p>
        </w:tc>
        <w:tc>
          <w:tcPr>
            <w:tcW w:type="dxa" w:w="340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Content</w:t>
            </w:r>
          </w:p>
        </w:tc>
        <w:tc>
          <w:tcPr>
            <w:tcW w:type="dxa" w:w="236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Target</w:t>
            </w:r>
          </w:p>
        </w:tc>
      </w:tr>
      <w:tr>
        <w:tc>
          <w:tcPr>
            <w:tcW w:type="dxa" w:w="2000"/>
            <w:tcMar>
              <w:top w:type="dxa" w:w="80"/>
              <w:left w:type="dxa" w:w="120"/>
              <w:bottom w:type="dxa" w:w="80"/>
              <w:right w:type="dxa" w:w="120"/>
            </w:tcMar>
            <w:vAlign w:val="top"/>
          </w:tcPr>
          <w:p>
            <w:r>
              <w:rPr>
                <w:rFonts w:ascii="Calibri" w:cs="Calibri" w:eastAsia="Calibri" w:hAnsi="Calibri"/>
                <w:b w:val="false"/>
                <w:bCs w:val="false"/>
                <w:sz w:val="20"/>
                <w:szCs w:val="20"/>
              </w:rPr>
              <w:t xml:space="preserve">Free Newsletter</w:t>
            </w:r>
          </w:p>
        </w:tc>
        <w:tc>
          <w:tcPr>
            <w:tcW w:type="dxa" w:w="1600"/>
            <w:tcMar>
              <w:top w:type="dxa" w:w="80"/>
              <w:left w:type="dxa" w:w="120"/>
              <w:bottom w:type="dxa" w:w="80"/>
              <w:right w:type="dxa" w:w="120"/>
            </w:tcMar>
            <w:vAlign w:val="top"/>
          </w:tcPr>
          <w:p>
            <w:r>
              <w:rPr>
                <w:rFonts w:ascii="Calibri" w:cs="Calibri" w:eastAsia="Calibri" w:hAnsi="Calibri"/>
                <w:b w:val="false"/>
                <w:bCs w:val="false"/>
                <w:sz w:val="20"/>
                <w:szCs w:val="20"/>
              </w:rPr>
              <w:t xml:space="preserve">$0/month</w:t>
            </w:r>
          </w:p>
        </w:tc>
        <w:tc>
          <w:tcPr>
            <w:tcW w:type="dxa" w:w="3400"/>
            <w:tcMar>
              <w:top w:type="dxa" w:w="80"/>
              <w:left w:type="dxa" w:w="120"/>
              <w:bottom w:type="dxa" w:w="80"/>
              <w:right w:type="dxa" w:w="120"/>
            </w:tcMar>
            <w:vAlign w:val="top"/>
          </w:tcPr>
          <w:p>
            <w:r>
              <w:rPr>
                <w:rFonts w:ascii="Calibri" w:cs="Calibri" w:eastAsia="Calibri" w:hAnsi="Calibri"/>
                <w:b w:val="false"/>
                <w:bCs w:val="false"/>
                <w:sz w:val="20"/>
                <w:szCs w:val="20"/>
              </w:rPr>
              <w:t xml:space="preserve">Weekly recap, delayed signals</w:t>
            </w:r>
          </w:p>
        </w:tc>
        <w:tc>
          <w:tcPr>
            <w:tcW w:type="dxa" w:w="2360"/>
            <w:tcMar>
              <w:top w:type="dxa" w:w="80"/>
              <w:left w:type="dxa" w:w="120"/>
              <w:bottom w:type="dxa" w:w="80"/>
              <w:right w:type="dxa" w:w="120"/>
            </w:tcMar>
            <w:vAlign w:val="top"/>
          </w:tcPr>
          <w:p>
            <w:r>
              <w:rPr>
                <w:rFonts w:ascii="Calibri" w:cs="Calibri" w:eastAsia="Calibri" w:hAnsi="Calibri"/>
                <w:b w:val="false"/>
                <w:bCs w:val="false"/>
                <w:sz w:val="20"/>
                <w:szCs w:val="20"/>
              </w:rPr>
              <w:t xml:space="preserve">Audience building</w:t>
            </w:r>
          </w:p>
        </w:tc>
      </w:tr>
      <w:tr>
        <w:tc>
          <w:tcPr>
            <w:tcW w:type="dxa" w:w="20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Signal Subscription</w:t>
            </w:r>
          </w:p>
        </w:tc>
        <w:tc>
          <w:tcPr>
            <w:tcW w:type="dxa" w:w="16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USD $49/month</w:t>
            </w:r>
          </w:p>
        </w:tc>
        <w:tc>
          <w:tcPr>
            <w:tcW w:type="dxa" w:w="34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Full signals, entry/exit levels, AI analysis</w:t>
            </w:r>
          </w:p>
        </w:tc>
        <w:tc>
          <w:tcPr>
            <w:tcW w:type="dxa" w:w="23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Core revenue</w:t>
            </w:r>
          </w:p>
        </w:tc>
      </w:tr>
      <w:tr>
        <w:tc>
          <w:tcPr>
            <w:tcW w:type="dxa" w:w="2000"/>
            <w:tcMar>
              <w:top w:type="dxa" w:w="80"/>
              <w:left w:type="dxa" w:w="120"/>
              <w:bottom w:type="dxa" w:w="80"/>
              <w:right w:type="dxa" w:w="120"/>
            </w:tcMar>
            <w:vAlign w:val="top"/>
          </w:tcPr>
          <w:p>
            <w:r>
              <w:rPr>
                <w:rFonts w:ascii="Calibri" w:cs="Calibri" w:eastAsia="Calibri" w:hAnsi="Calibri"/>
                <w:b w:val="false"/>
                <w:bCs w:val="false"/>
                <w:sz w:val="20"/>
                <w:szCs w:val="20"/>
              </w:rPr>
              <w:t xml:space="preserve">Premium (planned)</w:t>
            </w:r>
          </w:p>
        </w:tc>
        <w:tc>
          <w:tcPr>
            <w:tcW w:type="dxa" w:w="1600"/>
            <w:tcMar>
              <w:top w:type="dxa" w:w="80"/>
              <w:left w:type="dxa" w:w="120"/>
              <w:bottom w:type="dxa" w:w="80"/>
              <w:right w:type="dxa" w:w="120"/>
            </w:tcMar>
            <w:vAlign w:val="top"/>
          </w:tcPr>
          <w:p>
            <w:r>
              <w:rPr>
                <w:rFonts w:ascii="Calibri" w:cs="Calibri" w:eastAsia="Calibri" w:hAnsi="Calibri"/>
                <w:b w:val="false"/>
                <w:bCs w:val="false"/>
                <w:sz w:val="20"/>
                <w:szCs w:val="20"/>
              </w:rPr>
              <w:t xml:space="preserve">USD $149/month</w:t>
            </w:r>
          </w:p>
        </w:tc>
        <w:tc>
          <w:tcPr>
            <w:tcW w:type="dxa" w:w="3400"/>
            <w:tcMar>
              <w:top w:type="dxa" w:w="80"/>
              <w:left w:type="dxa" w:w="120"/>
              <w:bottom w:type="dxa" w:w="80"/>
              <w:right w:type="dxa" w:w="120"/>
            </w:tcMar>
            <w:vAlign w:val="top"/>
          </w:tcPr>
          <w:p>
            <w:r>
              <w:rPr>
                <w:rFonts w:ascii="Calibri" w:cs="Calibri" w:eastAsia="Calibri" w:hAnsi="Calibri"/>
                <w:b w:val="false"/>
                <w:bCs w:val="false"/>
                <w:sz w:val="20"/>
                <w:szCs w:val="20"/>
              </w:rPr>
              <w:t xml:space="preserve">Real-time signals, portfolio dashboard</w:t>
            </w:r>
          </w:p>
        </w:tc>
        <w:tc>
          <w:tcPr>
            <w:tcW w:type="dxa" w:w="2360"/>
            <w:tcMar>
              <w:top w:type="dxa" w:w="80"/>
              <w:left w:type="dxa" w:w="120"/>
              <w:bottom w:type="dxa" w:w="80"/>
              <w:right w:type="dxa" w:w="120"/>
            </w:tcMar>
            <w:vAlign w:val="top"/>
          </w:tcPr>
          <w:p>
            <w:r>
              <w:rPr>
                <w:rFonts w:ascii="Calibri" w:cs="Calibri" w:eastAsia="Calibri" w:hAnsi="Calibri"/>
                <w:b w:val="false"/>
                <w:bCs w:val="false"/>
                <w:sz w:val="20"/>
                <w:szCs w:val="20"/>
              </w:rPr>
              <w:t xml:space="preserve">High-value users</w:t>
            </w:r>
          </w:p>
        </w:tc>
      </w:tr>
    </w:tbl>
    <w:p>
      <w:pPr>
        <w:spacing w:after="160" w:before="0"/>
        <w:jc w:val="left"/>
      </w:pPr>
      <w:r>
        <w:rPr>
          <w:rFonts w:ascii="Calibri" w:cs="Calibri" w:eastAsia="Calibri" w:hAnsi="Calibri"/>
          <w:b w:val="false"/>
          <w:bCs w:val="false"/>
          <w:sz w:val="22"/>
          <w:szCs w:val="22"/>
        </w:rPr>
        <w:t xml:space="preserve"/>
      </w:r>
    </w:p>
    <w:p>
      <w:pPr>
        <w:pStyle w:val="Heading2"/>
        <w:spacing w:after="100" w:before="200"/>
        <w:outlineLvl w:val="1"/>
      </w:pPr>
      <w:r>
        <w:rPr>
          <w:rFonts w:ascii="Calibri" w:cs="Calibri" w:eastAsia="Calibri" w:hAnsi="Calibri"/>
          <w:b/>
          <w:bCs/>
          <w:color w:val="1a2744"/>
          <w:sz w:val="24"/>
          <w:szCs w:val="24"/>
        </w:rPr>
        <w:t xml:space="preserve">5.2 Financial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c>
          <w:tcPr>
            <w:tcW w:type="dxa" w:w="320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Metric</w:t>
            </w:r>
          </w:p>
        </w:tc>
        <w:tc>
          <w:tcPr>
            <w:tcW w:type="dxa" w:w="200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Year 1</w:t>
            </w:r>
          </w:p>
        </w:tc>
        <w:tc>
          <w:tcPr>
            <w:tcW w:type="dxa" w:w="200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Year 2</w:t>
            </w:r>
          </w:p>
        </w:tc>
        <w:tc>
          <w:tcPr>
            <w:tcW w:type="dxa" w:w="216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Year 3</w:t>
            </w:r>
          </w:p>
        </w:tc>
      </w:tr>
      <w:tr>
        <w:tc>
          <w:tcPr>
            <w:tcW w:type="dxa" w:w="3200"/>
            <w:tcMar>
              <w:top w:type="dxa" w:w="80"/>
              <w:left w:type="dxa" w:w="120"/>
              <w:bottom w:type="dxa" w:w="80"/>
              <w:right w:type="dxa" w:w="120"/>
            </w:tcMar>
            <w:vAlign w:val="top"/>
          </w:tcPr>
          <w:p>
            <w:r>
              <w:rPr>
                <w:rFonts w:ascii="Calibri" w:cs="Calibri" w:eastAsia="Calibri" w:hAnsi="Calibri"/>
                <w:b w:val="false"/>
                <w:bCs w:val="false"/>
                <w:sz w:val="20"/>
                <w:szCs w:val="20"/>
              </w:rPr>
              <w:t xml:space="preserve">Free Subscribers</w:t>
            </w:r>
          </w:p>
        </w:tc>
        <w:tc>
          <w:tcPr>
            <w:tcW w:type="dxa" w:w="2000"/>
            <w:tcMar>
              <w:top w:type="dxa" w:w="80"/>
              <w:left w:type="dxa" w:w="120"/>
              <w:bottom w:type="dxa" w:w="80"/>
              <w:right w:type="dxa" w:w="120"/>
            </w:tcMar>
            <w:vAlign w:val="top"/>
          </w:tcPr>
          <w:p>
            <w:r>
              <w:rPr>
                <w:rFonts w:ascii="Calibri" w:cs="Calibri" w:eastAsia="Calibri" w:hAnsi="Calibri"/>
                <w:b w:val="false"/>
                <w:bCs w:val="false"/>
                <w:sz w:val="20"/>
                <w:szCs w:val="20"/>
              </w:rPr>
              <w:t xml:space="preserve">2,000</w:t>
            </w:r>
          </w:p>
        </w:tc>
        <w:tc>
          <w:tcPr>
            <w:tcW w:type="dxa" w:w="2000"/>
            <w:tcMar>
              <w:top w:type="dxa" w:w="80"/>
              <w:left w:type="dxa" w:w="120"/>
              <w:bottom w:type="dxa" w:w="80"/>
              <w:right w:type="dxa" w:w="120"/>
            </w:tcMar>
            <w:vAlign w:val="top"/>
          </w:tcPr>
          <w:p>
            <w:r>
              <w:rPr>
                <w:rFonts w:ascii="Calibri" w:cs="Calibri" w:eastAsia="Calibri" w:hAnsi="Calibri"/>
                <w:b w:val="false"/>
                <w:bCs w:val="false"/>
                <w:sz w:val="20"/>
                <w:szCs w:val="20"/>
              </w:rPr>
              <w:t xml:space="preserve">8,000</w:t>
            </w:r>
          </w:p>
        </w:tc>
        <w:tc>
          <w:tcPr>
            <w:tcW w:type="dxa" w:w="2160"/>
            <w:tcMar>
              <w:top w:type="dxa" w:w="80"/>
              <w:left w:type="dxa" w:w="120"/>
              <w:bottom w:type="dxa" w:w="80"/>
              <w:right w:type="dxa" w:w="120"/>
            </w:tcMar>
            <w:vAlign w:val="top"/>
          </w:tcPr>
          <w:p>
            <w:r>
              <w:rPr>
                <w:rFonts w:ascii="Calibri" w:cs="Calibri" w:eastAsia="Calibri" w:hAnsi="Calibri"/>
                <w:b w:val="false"/>
                <w:bCs w:val="false"/>
                <w:sz w:val="20"/>
                <w:szCs w:val="20"/>
              </w:rPr>
              <w:t xml:space="preserve">20,000</w:t>
            </w:r>
          </w:p>
        </w:tc>
      </w:tr>
      <w:tr>
        <w:tc>
          <w:tcPr>
            <w:tcW w:type="dxa" w:w="32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Paid Subscribers</w:t>
            </w:r>
          </w:p>
        </w:tc>
        <w:tc>
          <w:tcPr>
            <w:tcW w:type="dxa" w:w="20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100</w:t>
            </w:r>
          </w:p>
        </w:tc>
        <w:tc>
          <w:tcPr>
            <w:tcW w:type="dxa" w:w="20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500</w:t>
            </w:r>
          </w:p>
        </w:tc>
        <w:tc>
          <w:tcPr>
            <w:tcW w:type="dxa" w:w="21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1,500</w:t>
            </w:r>
          </w:p>
        </w:tc>
      </w:tr>
      <w:tr>
        <w:tc>
          <w:tcPr>
            <w:tcW w:type="dxa" w:w="3200"/>
            <w:tcMar>
              <w:top w:type="dxa" w:w="80"/>
              <w:left w:type="dxa" w:w="120"/>
              <w:bottom w:type="dxa" w:w="80"/>
              <w:right w:type="dxa" w:w="120"/>
            </w:tcMar>
            <w:vAlign w:val="top"/>
          </w:tcPr>
          <w:p>
            <w:r>
              <w:rPr>
                <w:rFonts w:ascii="Calibri" w:cs="Calibri" w:eastAsia="Calibri" w:hAnsi="Calibri"/>
                <w:b w:val="false"/>
                <w:bCs w:val="false"/>
                <w:sz w:val="20"/>
                <w:szCs w:val="20"/>
              </w:rPr>
              <w:t xml:space="preserve">Monthly Recurring Revenue</w:t>
            </w:r>
          </w:p>
        </w:tc>
        <w:tc>
          <w:tcPr>
            <w:tcW w:type="dxa" w:w="2000"/>
            <w:tcMar>
              <w:top w:type="dxa" w:w="80"/>
              <w:left w:type="dxa" w:w="120"/>
              <w:bottom w:type="dxa" w:w="80"/>
              <w:right w:type="dxa" w:w="120"/>
            </w:tcMar>
            <w:vAlign w:val="top"/>
          </w:tcPr>
          <w:p>
            <w:r>
              <w:rPr>
                <w:rFonts w:ascii="Calibri" w:cs="Calibri" w:eastAsia="Calibri" w:hAnsi="Calibri"/>
                <w:b w:val="false"/>
                <w:bCs w:val="false"/>
                <w:sz w:val="20"/>
                <w:szCs w:val="20"/>
              </w:rPr>
              <w:t xml:space="preserve">USD $4,900</w:t>
            </w:r>
          </w:p>
        </w:tc>
        <w:tc>
          <w:tcPr>
            <w:tcW w:type="dxa" w:w="2000"/>
            <w:tcMar>
              <w:top w:type="dxa" w:w="80"/>
              <w:left w:type="dxa" w:w="120"/>
              <w:bottom w:type="dxa" w:w="80"/>
              <w:right w:type="dxa" w:w="120"/>
            </w:tcMar>
            <w:vAlign w:val="top"/>
          </w:tcPr>
          <w:p>
            <w:r>
              <w:rPr>
                <w:rFonts w:ascii="Calibri" w:cs="Calibri" w:eastAsia="Calibri" w:hAnsi="Calibri"/>
                <w:b w:val="false"/>
                <w:bCs w:val="false"/>
                <w:sz w:val="20"/>
                <w:szCs w:val="20"/>
              </w:rPr>
              <w:t xml:space="preserve">USD $24,500</w:t>
            </w:r>
          </w:p>
        </w:tc>
        <w:tc>
          <w:tcPr>
            <w:tcW w:type="dxa" w:w="2160"/>
            <w:tcMar>
              <w:top w:type="dxa" w:w="80"/>
              <w:left w:type="dxa" w:w="120"/>
              <w:bottom w:type="dxa" w:w="80"/>
              <w:right w:type="dxa" w:w="120"/>
            </w:tcMar>
            <w:vAlign w:val="top"/>
          </w:tcPr>
          <w:p>
            <w:r>
              <w:rPr>
                <w:rFonts w:ascii="Calibri" w:cs="Calibri" w:eastAsia="Calibri" w:hAnsi="Calibri"/>
                <w:b w:val="false"/>
                <w:bCs w:val="false"/>
                <w:sz w:val="20"/>
                <w:szCs w:val="20"/>
              </w:rPr>
              <w:t xml:space="preserve">USD $73,500</w:t>
            </w:r>
          </w:p>
        </w:tc>
      </w:tr>
      <w:tr>
        <w:tc>
          <w:tcPr>
            <w:tcW w:type="dxa" w:w="32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Annual Revenue</w:t>
            </w:r>
          </w:p>
        </w:tc>
        <w:tc>
          <w:tcPr>
            <w:tcW w:type="dxa" w:w="20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USD $58,800</w:t>
            </w:r>
          </w:p>
        </w:tc>
        <w:tc>
          <w:tcPr>
            <w:tcW w:type="dxa" w:w="20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USD $294,000</w:t>
            </w:r>
          </w:p>
        </w:tc>
        <w:tc>
          <w:tcPr>
            <w:tcW w:type="dxa" w:w="21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USD $882,000</w:t>
            </w:r>
          </w:p>
        </w:tc>
      </w:tr>
      <w:tr>
        <w:tc>
          <w:tcPr>
            <w:tcW w:type="dxa" w:w="3200"/>
            <w:tcMar>
              <w:top w:type="dxa" w:w="80"/>
              <w:left w:type="dxa" w:w="120"/>
              <w:bottom w:type="dxa" w:w="80"/>
              <w:right w:type="dxa" w:w="120"/>
            </w:tcMar>
            <w:vAlign w:val="top"/>
          </w:tcPr>
          <w:p>
            <w:r>
              <w:rPr>
                <w:rFonts w:ascii="Calibri" w:cs="Calibri" w:eastAsia="Calibri" w:hAnsi="Calibri"/>
                <w:b w:val="false"/>
                <w:bCs w:val="false"/>
                <w:sz w:val="20"/>
                <w:szCs w:val="20"/>
              </w:rPr>
              <w:t xml:space="preserve">Gross Margin</w:t>
            </w:r>
          </w:p>
        </w:tc>
        <w:tc>
          <w:tcPr>
            <w:tcW w:type="dxa" w:w="2000"/>
            <w:tcMar>
              <w:top w:type="dxa" w:w="80"/>
              <w:left w:type="dxa" w:w="120"/>
              <w:bottom w:type="dxa" w:w="80"/>
              <w:right w:type="dxa" w:w="120"/>
            </w:tcMar>
            <w:vAlign w:val="top"/>
          </w:tcPr>
          <w:p>
            <w:r>
              <w:rPr>
                <w:rFonts w:ascii="Calibri" w:cs="Calibri" w:eastAsia="Calibri" w:hAnsi="Calibri"/>
                <w:b w:val="false"/>
                <w:bCs w:val="false"/>
                <w:sz w:val="20"/>
                <w:szCs w:val="20"/>
              </w:rPr>
              <w:t xml:space="preserve">~85%</w:t>
            </w:r>
          </w:p>
        </w:tc>
        <w:tc>
          <w:tcPr>
            <w:tcW w:type="dxa" w:w="2000"/>
            <w:tcMar>
              <w:top w:type="dxa" w:w="80"/>
              <w:left w:type="dxa" w:w="120"/>
              <w:bottom w:type="dxa" w:w="80"/>
              <w:right w:type="dxa" w:w="120"/>
            </w:tcMar>
            <w:vAlign w:val="top"/>
          </w:tcPr>
          <w:p>
            <w:r>
              <w:rPr>
                <w:rFonts w:ascii="Calibri" w:cs="Calibri" w:eastAsia="Calibri" w:hAnsi="Calibri"/>
                <w:b w:val="false"/>
                <w:bCs w:val="false"/>
                <w:sz w:val="20"/>
                <w:szCs w:val="20"/>
              </w:rPr>
              <w:t xml:space="preserve">~85%</w:t>
            </w:r>
          </w:p>
        </w:tc>
        <w:tc>
          <w:tcPr>
            <w:tcW w:type="dxa" w:w="2160"/>
            <w:tcMar>
              <w:top w:type="dxa" w:w="80"/>
              <w:left w:type="dxa" w:w="120"/>
              <w:bottom w:type="dxa" w:w="80"/>
              <w:right w:type="dxa" w:w="120"/>
            </w:tcMar>
            <w:vAlign w:val="top"/>
          </w:tcPr>
          <w:p>
            <w:r>
              <w:rPr>
                <w:rFonts w:ascii="Calibri" w:cs="Calibri" w:eastAsia="Calibri" w:hAnsi="Calibri"/>
                <w:b w:val="false"/>
                <w:bCs w:val="false"/>
                <w:sz w:val="20"/>
                <w:szCs w:val="20"/>
              </w:rPr>
              <w:t xml:space="preserve">~85%</w:t>
            </w:r>
          </w:p>
        </w:tc>
      </w:tr>
    </w:tbl>
    <w:p>
      <w:pPr>
        <w:spacing w:after="120" w:before="0"/>
        <w:jc w:val="left"/>
      </w:pPr>
      <w:r>
        <w:rPr>
          <w:rFonts w:ascii="Calibri" w:cs="Calibri" w:eastAsia="Calibri" w:hAnsi="Calibri"/>
          <w:b w:val="false"/>
          <w:bCs w:val="false"/>
          <w:sz w:val="22"/>
          <w:szCs w:val="22"/>
        </w:rPr>
        <w:t xml:space="preserve"/>
      </w:r>
    </w:p>
    <w:p>
      <w:pPr>
        <w:spacing w:after="160" w:before="0"/>
        <w:jc w:val="left"/>
      </w:pPr>
      <w:r>
        <w:rPr>
          <w:rFonts w:ascii="Calibri" w:cs="Calibri" w:eastAsia="Calibri" w:hAnsi="Calibri"/>
          <w:b w:val="false"/>
          <w:bCs w:val="false"/>
          <w:sz w:val="20"/>
          <w:szCs w:val="20"/>
        </w:rPr>
        <w:t xml:space="preserve">These projections are illustrative estimates only and are not guarantees of performance.</w:t>
      </w:r>
    </w:p>
    <w:p>
      <w:pPr>
        <w:pStyle w:val="Heading2"/>
        <w:spacing w:after="100" w:before="200"/>
        <w:outlineLvl w:val="1"/>
      </w:pPr>
      <w:r>
        <w:rPr>
          <w:rFonts w:ascii="Calibri" w:cs="Calibri" w:eastAsia="Calibri" w:hAnsi="Calibri"/>
          <w:b/>
          <w:bCs/>
          <w:color w:val="1a2744"/>
          <w:sz w:val="24"/>
          <w:szCs w:val="24"/>
        </w:rPr>
        <w:t xml:space="preserve">5.3 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Metric</w:t>
            </w:r>
          </w:p>
        </w:tc>
        <w:tc>
          <w:tcPr>
            <w:tcW w:type="dxa" w:w="586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Value</w:t>
            </w:r>
          </w:p>
        </w:tc>
      </w:tr>
      <w:tr>
        <w:tc>
          <w:tcPr>
            <w:tcW w:type="dxa" w:w="35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Monthly Subscription</w:t>
            </w:r>
          </w:p>
        </w:tc>
        <w:tc>
          <w:tcPr>
            <w:tcW w:type="dxa" w:w="58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USD $49</w:t>
            </w:r>
          </w:p>
        </w:tc>
      </w:tr>
      <w:tr>
        <w:tc>
          <w:tcPr>
            <w:tcW w:type="dxa" w:w="3500"/>
            <w:tcMar>
              <w:top w:type="dxa" w:w="80"/>
              <w:left w:type="dxa" w:w="120"/>
              <w:bottom w:type="dxa" w:w="80"/>
              <w:right w:type="dxa" w:w="120"/>
            </w:tcMar>
            <w:vAlign w:val="top"/>
          </w:tcPr>
          <w:p>
            <w:r>
              <w:rPr>
                <w:rFonts w:ascii="Calibri" w:cs="Calibri" w:eastAsia="Calibri" w:hAnsi="Calibri"/>
                <w:b w:val="false"/>
                <w:bCs w:val="false"/>
                <w:sz w:val="20"/>
                <w:szCs w:val="20"/>
              </w:rPr>
              <w:t xml:space="preserve">Estimated CAC</w:t>
            </w:r>
          </w:p>
        </w:tc>
        <w:tc>
          <w:tcPr>
            <w:tcW w:type="dxa" w:w="5860"/>
            <w:tcMar>
              <w:top w:type="dxa" w:w="80"/>
              <w:left w:type="dxa" w:w="120"/>
              <w:bottom w:type="dxa" w:w="80"/>
              <w:right w:type="dxa" w:w="120"/>
            </w:tcMar>
            <w:vAlign w:val="top"/>
          </w:tcPr>
          <w:p>
            <w:r>
              <w:rPr>
                <w:rFonts w:ascii="Calibri" w:cs="Calibri" w:eastAsia="Calibri" w:hAnsi="Calibri"/>
                <w:b w:val="false"/>
                <w:bCs w:val="false"/>
                <w:sz w:val="20"/>
                <w:szCs w:val="20"/>
              </w:rPr>
              <w:t xml:space="preserve">USD $80-120 (paid digital ads)</w:t>
            </w:r>
          </w:p>
        </w:tc>
      </w:tr>
      <w:tr>
        <w:tc>
          <w:tcPr>
            <w:tcW w:type="dxa" w:w="35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Estimated 12-Month LTV</w:t>
            </w:r>
          </w:p>
        </w:tc>
        <w:tc>
          <w:tcPr>
            <w:tcW w:type="dxa" w:w="58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USD $588</w:t>
            </w:r>
          </w:p>
        </w:tc>
      </w:tr>
      <w:tr>
        <w:tc>
          <w:tcPr>
            <w:tcW w:type="dxa" w:w="3500"/>
            <w:tcMar>
              <w:top w:type="dxa" w:w="80"/>
              <w:left w:type="dxa" w:w="120"/>
              <w:bottom w:type="dxa" w:w="80"/>
              <w:right w:type="dxa" w:w="120"/>
            </w:tcMar>
            <w:vAlign w:val="top"/>
          </w:tcPr>
          <w:p>
            <w:r>
              <w:rPr>
                <w:rFonts w:ascii="Calibri" w:cs="Calibri" w:eastAsia="Calibri" w:hAnsi="Calibri"/>
                <w:b w:val="false"/>
                <w:bCs w:val="false"/>
                <w:sz w:val="20"/>
                <w:szCs w:val="20"/>
              </w:rPr>
              <w:t xml:space="preserve">LTV/CAC Ratio</w:t>
            </w:r>
          </w:p>
        </w:tc>
        <w:tc>
          <w:tcPr>
            <w:tcW w:type="dxa" w:w="5860"/>
            <w:tcMar>
              <w:top w:type="dxa" w:w="80"/>
              <w:left w:type="dxa" w:w="120"/>
              <w:bottom w:type="dxa" w:w="80"/>
              <w:right w:type="dxa" w:w="120"/>
            </w:tcMar>
            <w:vAlign w:val="top"/>
          </w:tcPr>
          <w:p>
            <w:r>
              <w:rPr>
                <w:rFonts w:ascii="Calibri" w:cs="Calibri" w:eastAsia="Calibri" w:hAnsi="Calibri"/>
                <w:b w:val="false"/>
                <w:bCs w:val="false"/>
                <w:sz w:val="20"/>
                <w:szCs w:val="20"/>
              </w:rPr>
              <w:t xml:space="preserve">~5-7x</w:t>
            </w:r>
          </w:p>
        </w:tc>
      </w:tr>
      <w:tr>
        <w:tc>
          <w:tcPr>
            <w:tcW w:type="dxa" w:w="35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Gross Margin</w:t>
            </w:r>
          </w:p>
        </w:tc>
        <w:tc>
          <w:tcPr>
            <w:tcW w:type="dxa" w:w="58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~85%</w:t>
            </w:r>
          </w:p>
        </w:tc>
      </w:tr>
    </w:tbl>
    <w:p>
      <w:r>
        <w:br w:type="page"/>
      </w:r>
    </w:p>
    <w:p>
      <w:pPr>
        <w:pStyle w:val="Heading1"/>
        <w:spacing w:after="120" w:before="240"/>
        <w:outlineLvl w:val="0"/>
      </w:pPr>
      <w:r>
        <w:rPr>
          <w:rFonts w:ascii="Calibri" w:cs="Calibri" w:eastAsia="Calibri" w:hAnsi="Calibri"/>
          <w:b/>
          <w:bCs/>
          <w:color w:val="1a2744"/>
          <w:sz w:val="28"/>
          <w:szCs w:val="28"/>
        </w:rPr>
        <w:t xml:space="preserve">Section 6: Market &amp; Go-To-Market</w:t>
      </w:r>
    </w:p>
    <w:p>
      <w:pPr>
        <w:pStyle w:val="Heading2"/>
        <w:spacing w:after="100" w:before="200"/>
        <w:outlineLvl w:val="1"/>
      </w:pPr>
      <w:r>
        <w:rPr>
          <w:rFonts w:ascii="Calibri" w:cs="Calibri" w:eastAsia="Calibri" w:hAnsi="Calibri"/>
          <w:b/>
          <w:bCs/>
          <w:color w:val="1a2744"/>
          <w:sz w:val="24"/>
          <w:szCs w:val="24"/>
        </w:rPr>
        <w:t xml:space="preserve">6.1 Target Market</w:t>
      </w:r>
    </w:p>
    <w:p>
      <w:pPr>
        <w:spacing w:after="140" w:before="0"/>
        <w:jc w:val="left"/>
      </w:pPr>
      <w:r>
        <w:rPr>
          <w:rFonts w:ascii="Calibri" w:cs="Calibri" w:eastAsia="Calibri" w:hAnsi="Calibri"/>
          <w:b w:val="false"/>
          <w:bCs w:val="false"/>
          <w:sz w:val="22"/>
          <w:szCs w:val="22"/>
        </w:rPr>
        <w:t xml:space="preserve">Primary target: Chinese-speaking retail investors in APAC  -  a combined addressable population of 50+ million individuals with investable assets.</w:t>
      </w:r>
    </w:p>
    <w:p>
      <w:pPr>
        <w:spacing w:after="80"/>
        <w:ind w:left="360" w:hanging="240"/>
      </w:pPr>
      <w:r>
        <w:rPr>
          <w:rFonts w:ascii="Calibri" w:cs="Calibri" w:eastAsia="Calibri" w:hAnsi="Calibri"/>
          <w:b w:val="false"/>
          <w:bCs w:val="false"/>
          <w:sz w:val="22"/>
          <w:szCs w:val="22"/>
        </w:rPr>
        <w:t>-  Hong Kong / Taiwan: Deep retail investing culture, active U.S. equity participation</w:t>
      </w:r>
    </w:p>
    <w:p>
      <w:pPr>
        <w:spacing w:after="80"/>
        <w:ind w:left="360" w:hanging="240"/>
      </w:pPr>
      <w:r>
        <w:rPr>
          <w:rFonts w:ascii="Calibri" w:cs="Calibri" w:eastAsia="Calibri" w:hAnsi="Calibri"/>
          <w:b w:val="false"/>
          <w:bCs w:val="false"/>
          <w:sz w:val="22"/>
          <w:szCs w:val="22"/>
        </w:rPr>
        <w:t>-  Singapore / Malaysia: Growing HNW Chinese diaspora, sophisticated investor base</w:t>
      </w:r>
    </w:p>
    <w:p>
      <w:pPr>
        <w:spacing w:after="80"/>
        <w:ind w:left="360" w:hanging="240"/>
      </w:pPr>
      <w:r>
        <w:rPr>
          <w:rFonts w:ascii="Calibri" w:cs="Calibri" w:eastAsia="Calibri" w:hAnsi="Calibri"/>
          <w:b w:val="false"/>
          <w:bCs w:val="false"/>
          <w:sz w:val="22"/>
          <w:szCs w:val="22"/>
        </w:rPr>
        <w:t>-  Australia / New Zealand: 1.4M+ Chinese community in Australia alone, growing U.S. stock interest</w:t>
      </w:r>
    </w:p>
    <w:p>
      <w:pPr>
        <w:spacing w:after="80"/>
        <w:ind w:left="360" w:hanging="240"/>
      </w:pPr>
      <w:r>
        <w:rPr>
          <w:rFonts w:ascii="Calibri" w:cs="Calibri" w:eastAsia="Calibri" w:hAnsi="Calibri"/>
          <w:b w:val="false"/>
          <w:bCs w:val="false"/>
          <w:sz w:val="22"/>
          <w:szCs w:val="22"/>
        </w:rPr>
        <w:t>-  Japan / Korea: Secondary expansion markets</w:t>
      </w:r>
    </w:p>
    <w:p>
      <w:pPr>
        <w:spacing w:after="120" w:before="0"/>
        <w:jc w:val="left"/>
      </w:pPr>
      <w:r>
        <w:rPr>
          <w:rFonts w:ascii="Calibri" w:cs="Calibri" w:eastAsia="Calibri" w:hAnsi="Calibri"/>
          <w:b w:val="false"/>
          <w:bCs w:val="false"/>
          <w:sz w:val="22"/>
          <w:szCs w:val="22"/>
        </w:rPr>
        <w:t xml:space="preserve"/>
      </w:r>
    </w:p>
    <w:p>
      <w:pPr>
        <w:pStyle w:val="Heading2"/>
        <w:spacing w:after="100" w:before="200"/>
        <w:outlineLvl w:val="1"/>
      </w:pPr>
      <w:r>
        <w:rPr>
          <w:rFonts w:ascii="Calibri" w:cs="Calibri" w:eastAsia="Calibri" w:hAnsi="Calibri"/>
          <w:b/>
          <w:bCs/>
          <w:color w:val="1a2744"/>
          <w:sz w:val="24"/>
          <w:szCs w:val="24"/>
        </w:rPr>
        <w:t xml:space="preserve">6.2 Go-To-Market Strategy</w:t>
      </w:r>
    </w:p>
    <w:p>
      <w:pPr>
        <w:spacing w:after="80" w:before="0"/>
        <w:jc w:val="left"/>
      </w:pPr>
      <w:r>
        <w:rPr>
          <w:rFonts w:ascii="Calibri" w:cs="Calibri" w:eastAsia="Calibri" w:hAnsi="Calibri"/>
          <w:b/>
          <w:bCs/>
          <w:sz w:val="22"/>
          <w:szCs w:val="22"/>
        </w:rPr>
        <w:t xml:space="preserve">Phase 1  -  Content and Community (Funded by this raise)</w:t>
      </w:r>
    </w:p>
    <w:p>
      <w:pPr>
        <w:spacing w:after="80"/>
        <w:ind w:left="360" w:hanging="240"/>
      </w:pPr>
      <w:r>
        <w:rPr>
          <w:rFonts w:ascii="Calibri" w:cs="Calibri" w:eastAsia="Calibri" w:hAnsi="Calibri"/>
          <w:b w:val="false"/>
          <w:bCs w:val="false"/>
          <w:sz w:val="22"/>
          <w:szCs w:val="22"/>
        </w:rPr>
        <w:t>-  22 SEO articles live in English and Chinese</w:t>
      </w:r>
    </w:p>
    <w:p>
      <w:pPr>
        <w:spacing w:after="80"/>
        <w:ind w:left="360" w:hanging="240"/>
      </w:pPr>
      <w:r>
        <w:rPr>
          <w:rFonts w:ascii="Calibri" w:cs="Calibri" w:eastAsia="Calibri" w:hAnsi="Calibri"/>
          <w:b w:val="false"/>
          <w:bCs w:val="false"/>
          <w:sz w:val="22"/>
          <w:szCs w:val="22"/>
        </w:rPr>
        <w:t>-  Google Ads: "AI trading signals", "quantitative strategy", U.S. stock signals</w:t>
      </w:r>
    </w:p>
    <w:p>
      <w:pPr>
        <w:spacing w:after="80"/>
        <w:ind w:left="360" w:hanging="240"/>
      </w:pPr>
      <w:r>
        <w:rPr>
          <w:rFonts w:ascii="Calibri" w:cs="Calibri" w:eastAsia="Calibri" w:hAnsi="Calibri"/>
          <w:b w:val="false"/>
          <w:bCs w:val="false"/>
          <w:sz w:val="22"/>
          <w:szCs w:val="22"/>
        </w:rPr>
        <w:t>-  Facebook/Instagram Ads targeting APAC Chinese communities</w:t>
      </w:r>
    </w:p>
    <w:p>
      <w:pPr>
        <w:spacing w:after="80"/>
        <w:ind w:left="360" w:hanging="240"/>
      </w:pPr>
      <w:r>
        <w:rPr>
          <w:rFonts w:ascii="Calibri" w:cs="Calibri" w:eastAsia="Calibri" w:hAnsi="Calibri"/>
          <w:b w:val="false"/>
          <w:bCs w:val="false"/>
          <w:sz w:val="22"/>
          <w:szCs w:val="22"/>
        </w:rPr>
        <w:t>-  WeChat and Xiaohongshu community presence</w:t>
      </w:r>
    </w:p>
    <w:p>
      <w:pPr>
        <w:spacing w:after="120" w:before="0"/>
        <w:jc w:val="left"/>
      </w:pPr>
      <w:r>
        <w:rPr>
          <w:rFonts w:ascii="Calibri" w:cs="Calibri" w:eastAsia="Calibri" w:hAnsi="Calibri"/>
          <w:b w:val="false"/>
          <w:bCs w:val="false"/>
          <w:sz w:val="22"/>
          <w:szCs w:val="22"/>
        </w:rPr>
        <w:t xml:space="preserve"/>
      </w:r>
    </w:p>
    <w:p>
      <w:pPr>
        <w:spacing w:after="80" w:before="0"/>
        <w:jc w:val="left"/>
      </w:pPr>
      <w:r>
        <w:rPr>
          <w:rFonts w:ascii="Calibri" w:cs="Calibri" w:eastAsia="Calibri" w:hAnsi="Calibri"/>
          <w:b/>
          <w:bCs/>
          <w:sz w:val="22"/>
          <w:szCs w:val="22"/>
        </w:rPr>
        <w:t xml:space="preserve">Phase 2  -  Partnerships and Scale (Year 2)</w:t>
      </w:r>
    </w:p>
    <w:p>
      <w:pPr>
        <w:spacing w:after="80"/>
        <w:ind w:left="360" w:hanging="240"/>
      </w:pPr>
      <w:r>
        <w:rPr>
          <w:rFonts w:ascii="Calibri" w:cs="Calibri" w:eastAsia="Calibri" w:hAnsi="Calibri"/>
          <w:b w:val="false"/>
          <w:bCs w:val="false"/>
          <w:sz w:val="22"/>
          <w:szCs w:val="22"/>
        </w:rPr>
        <w:t>-  KOL partnerships with APAC Chinese finance influencers</w:t>
      </w:r>
    </w:p>
    <w:p>
      <w:pPr>
        <w:spacing w:after="80"/>
        <w:ind w:left="360" w:hanging="240"/>
      </w:pPr>
      <w:r>
        <w:rPr>
          <w:rFonts w:ascii="Calibri" w:cs="Calibri" w:eastAsia="Calibri" w:hAnsi="Calibri"/>
          <w:b w:val="false"/>
          <w:bCs w:val="false"/>
          <w:sz w:val="22"/>
          <w:szCs w:val="22"/>
        </w:rPr>
        <w:t>-  Referral programme (subscriber-gets-subscriber incentives)</w:t>
      </w:r>
    </w:p>
    <w:p>
      <w:pPr>
        <w:spacing w:after="80"/>
        <w:ind w:left="360" w:hanging="240"/>
      </w:pPr>
      <w:r>
        <w:rPr>
          <w:rFonts w:ascii="Calibri" w:cs="Calibri" w:eastAsia="Calibri" w:hAnsi="Calibri"/>
          <w:b w:val="false"/>
          <w:bCs w:val="false"/>
          <w:sz w:val="22"/>
          <w:szCs w:val="22"/>
        </w:rPr>
        <w:t>-  White-label B2B partnerships with Chinese-speaking brokers</w:t>
      </w:r>
    </w:p>
    <w:p>
      <w:r>
        <w:br w:type="page"/>
      </w:r>
    </w:p>
    <w:p>
      <w:pPr>
        <w:pStyle w:val="Heading1"/>
        <w:spacing w:after="120" w:before="240"/>
        <w:outlineLvl w:val="0"/>
      </w:pPr>
      <w:r>
        <w:rPr>
          <w:rFonts w:ascii="Calibri" w:cs="Calibri" w:eastAsia="Calibri" w:hAnsi="Calibri"/>
          <w:b/>
          <w:bCs/>
          <w:color w:val="1a2744"/>
          <w:sz w:val="28"/>
          <w:szCs w:val="28"/>
        </w:rPr>
        <w:t xml:space="preserve">Section 7: The Team</w:t>
      </w:r>
    </w:p>
    <w:p>
      <w:pPr>
        <w:spacing w:after="80" w:before="0"/>
        <w:jc w:val="left"/>
      </w:pPr>
      <w:r>
        <w:rPr>
          <w:rFonts w:ascii="Calibri" w:cs="Calibri" w:eastAsia="Calibri" w:hAnsi="Calibri"/>
          <w:b/>
          <w:bCs/>
          <w:color w:val="1a2744"/>
          <w:sz w:val="24"/>
          <w:szCs w:val="24"/>
        </w:rPr>
        <w:t xml:space="preserve">Pengyu Deng  -  Co-Founder and CEO</w:t>
      </w:r>
    </w:p>
    <w:p>
      <w:pPr>
        <w:spacing w:after="200" w:before="0"/>
        <w:jc w:val="left"/>
      </w:pPr>
      <w:r>
        <w:rPr>
          <w:rFonts w:ascii="Calibri" w:cs="Calibri" w:eastAsia="Calibri" w:hAnsi="Calibri"/>
          <w:b w:val="false"/>
          <w:bCs w:val="false"/>
          <w:sz w:val="22"/>
          <w:szCs w:val="22"/>
        </w:rPr>
        <w:t xml:space="preserve">Pengyu is the architect of the StockQueen quantitative engine. He designed and built the entire V4/V5 multi-strategy system, ML ranker, risk management infrastructure, and production deployment pipeline. He brings deep expertise in systematic trading strategy design, Python-based financial modelling, and full-stack engineering.</w:t>
      </w:r>
    </w:p>
    <w:p>
      <w:pPr>
        <w:spacing w:after="80" w:before="0"/>
        <w:jc w:val="left"/>
      </w:pPr>
      <w:r>
        <w:rPr>
          <w:rFonts w:ascii="Calibri" w:cs="Calibri" w:eastAsia="Calibri" w:hAnsi="Calibri"/>
          <w:b/>
          <w:bCs/>
          <w:color w:val="1a2744"/>
          <w:sz w:val="24"/>
          <w:szCs w:val="24"/>
        </w:rPr>
        <w:t xml:space="preserve">Haizhou Hu  -  Co-Founder and CMO</w:t>
      </w:r>
    </w:p>
    <w:p>
      <w:pPr>
        <w:spacing w:after="200" w:before="0"/>
        <w:jc w:val="left"/>
      </w:pPr>
      <w:r>
        <w:rPr>
          <w:rFonts w:ascii="Calibri" w:cs="Calibri" w:eastAsia="Calibri" w:hAnsi="Calibri"/>
          <w:b w:val="false"/>
          <w:bCs w:val="false"/>
          <w:sz w:val="22"/>
          <w:szCs w:val="22"/>
        </w:rPr>
        <w:t xml:space="preserve">Haizhou leads brand, marketing, and community growth strategy. He brings expertise in building and engaging APAC Chinese-speaking communities across digital platforms, and oversees go-to-market execution including social media, content marketing, and paid acquisition channels.</w:t>
      </w:r>
    </w:p>
    <w:p>
      <w:pPr>
        <w:spacing w:after="140" w:before="0"/>
        <w:jc w:val="left"/>
      </w:pPr>
      <w:r>
        <w:rPr>
          <w:rFonts w:ascii="Calibri" w:cs="Calibri" w:eastAsia="Calibri" w:hAnsi="Calibri"/>
          <w:b w:val="false"/>
          <w:bCs w:val="false"/>
          <w:sz w:val="22"/>
          <w:szCs w:val="22"/>
        </w:rPr>
        <w:t xml:space="preserve">The Company intends to formalise an advisory board post-incorporation, targeting licensed financial professionals, APAC fintech operators, and quantitative finance practitioners.</w:t>
      </w:r>
    </w:p>
    <w:p>
      <w:r>
        <w:br w:type="page"/>
      </w:r>
    </w:p>
    <w:p>
      <w:pPr>
        <w:pStyle w:val="Heading1"/>
        <w:spacing w:after="120" w:before="240"/>
        <w:outlineLvl w:val="0"/>
      </w:pPr>
      <w:r>
        <w:rPr>
          <w:rFonts w:ascii="Calibri" w:cs="Calibri" w:eastAsia="Calibri" w:hAnsi="Calibri"/>
          <w:b/>
          <w:bCs/>
          <w:color w:val="1a2744"/>
          <w:sz w:val="28"/>
          <w:szCs w:val="28"/>
        </w:rPr>
        <w:t xml:space="preserve">Section 8: Use of Funds</w:t>
      </w:r>
    </w:p>
    <w:p>
      <w:pPr>
        <w:spacing w:after="160" w:before="0"/>
        <w:jc w:val="left"/>
      </w:pPr>
      <w:r>
        <w:rPr>
          <w:rFonts w:ascii="Calibri" w:cs="Calibri" w:eastAsia="Calibri" w:hAnsi="Calibri"/>
          <w:b/>
          <w:bCs/>
          <w:sz w:val="24"/>
          <w:szCs w:val="24"/>
        </w:rPr>
        <w:t xml:space="preserve">Total Raise: USD $500,000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Category</w:t>
            </w:r>
          </w:p>
        </w:tc>
        <w:tc>
          <w:tcPr>
            <w:tcW w:type="dxa" w:w="200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Allocation</w:t>
            </w:r>
          </w:p>
        </w:tc>
        <w:tc>
          <w:tcPr>
            <w:tcW w:type="dxa" w:w="336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USD Amount</w:t>
            </w:r>
          </w:p>
        </w:tc>
      </w:tr>
      <w:tr>
        <w:tc>
          <w:tcPr>
            <w:tcW w:type="dxa" w:w="4000"/>
            <w:tcMar>
              <w:top w:type="dxa" w:w="80"/>
              <w:left w:type="dxa" w:w="120"/>
              <w:bottom w:type="dxa" w:w="80"/>
              <w:right w:type="dxa" w:w="120"/>
            </w:tcMar>
            <w:vAlign w:val="top"/>
          </w:tcPr>
          <w:p>
            <w:r>
              <w:rPr>
                <w:rFonts w:ascii="Calibri" w:cs="Calibri" w:eastAsia="Calibri" w:hAnsi="Calibri"/>
                <w:b w:val="false"/>
                <w:bCs w:val="false"/>
                <w:sz w:val="20"/>
                <w:szCs w:val="20"/>
              </w:rPr>
              <w:t xml:space="preserve">Product and Engineering</w:t>
            </w:r>
          </w:p>
        </w:tc>
        <w:tc>
          <w:tcPr>
            <w:tcW w:type="dxa" w:w="2000"/>
            <w:tcMar>
              <w:top w:type="dxa" w:w="80"/>
              <w:left w:type="dxa" w:w="120"/>
              <w:bottom w:type="dxa" w:w="80"/>
              <w:right w:type="dxa" w:w="120"/>
            </w:tcMar>
            <w:vAlign w:val="top"/>
          </w:tcPr>
          <w:p>
            <w:r>
              <w:rPr>
                <w:rFonts w:ascii="Calibri" w:cs="Calibri" w:eastAsia="Calibri" w:hAnsi="Calibri"/>
                <w:b w:val="false"/>
                <w:bCs w:val="false"/>
                <w:sz w:val="20"/>
                <w:szCs w:val="20"/>
              </w:rPr>
              <w:t xml:space="preserve">35%</w:t>
            </w:r>
          </w:p>
        </w:tc>
        <w:tc>
          <w:tcPr>
            <w:tcW w:type="dxa" w:w="3360"/>
            <w:tcMar>
              <w:top w:type="dxa" w:w="80"/>
              <w:left w:type="dxa" w:w="120"/>
              <w:bottom w:type="dxa" w:w="80"/>
              <w:right w:type="dxa" w:w="120"/>
            </w:tcMar>
            <w:vAlign w:val="top"/>
          </w:tcPr>
          <w:p>
            <w:r>
              <w:rPr>
                <w:rFonts w:ascii="Calibri" w:cs="Calibri" w:eastAsia="Calibri" w:hAnsi="Calibri"/>
                <w:b w:val="false"/>
                <w:bCs w:val="false"/>
                <w:sz w:val="20"/>
                <w:szCs w:val="20"/>
              </w:rPr>
              <w:t xml:space="preserve">$175,000</w:t>
            </w:r>
          </w:p>
        </w:tc>
      </w:tr>
      <w:tr>
        <w:tc>
          <w:tcPr>
            <w:tcW w:type="dxa" w:w="40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Marketing and Subscriber Acquisition</w:t>
            </w:r>
          </w:p>
        </w:tc>
        <w:tc>
          <w:tcPr>
            <w:tcW w:type="dxa" w:w="20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40%</w:t>
            </w:r>
          </w:p>
        </w:tc>
        <w:tc>
          <w:tcPr>
            <w:tcW w:type="dxa" w:w="33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$200,000</w:t>
            </w:r>
          </w:p>
        </w:tc>
      </w:tr>
      <w:tr>
        <w:tc>
          <w:tcPr>
            <w:tcW w:type="dxa" w:w="4000"/>
            <w:tcMar>
              <w:top w:type="dxa" w:w="80"/>
              <w:left w:type="dxa" w:w="120"/>
              <w:bottom w:type="dxa" w:w="80"/>
              <w:right w:type="dxa" w:w="120"/>
            </w:tcMar>
            <w:vAlign w:val="top"/>
          </w:tcPr>
          <w:p>
            <w:r>
              <w:rPr>
                <w:rFonts w:ascii="Calibri" w:cs="Calibri" w:eastAsia="Calibri" w:hAnsi="Calibri"/>
                <w:b w:val="false"/>
                <w:bCs w:val="false"/>
                <w:sz w:val="20"/>
                <w:szCs w:val="20"/>
              </w:rPr>
              <w:t xml:space="preserve">Operations and Compliance</w:t>
            </w:r>
          </w:p>
        </w:tc>
        <w:tc>
          <w:tcPr>
            <w:tcW w:type="dxa" w:w="2000"/>
            <w:tcMar>
              <w:top w:type="dxa" w:w="80"/>
              <w:left w:type="dxa" w:w="120"/>
              <w:bottom w:type="dxa" w:w="80"/>
              <w:right w:type="dxa" w:w="120"/>
            </w:tcMar>
            <w:vAlign w:val="top"/>
          </w:tcPr>
          <w:p>
            <w:r>
              <w:rPr>
                <w:rFonts w:ascii="Calibri" w:cs="Calibri" w:eastAsia="Calibri" w:hAnsi="Calibri"/>
                <w:b w:val="false"/>
                <w:bCs w:val="false"/>
                <w:sz w:val="20"/>
                <w:szCs w:val="20"/>
              </w:rPr>
              <w:t xml:space="preserve">10%</w:t>
            </w:r>
          </w:p>
        </w:tc>
        <w:tc>
          <w:tcPr>
            <w:tcW w:type="dxa" w:w="3360"/>
            <w:tcMar>
              <w:top w:type="dxa" w:w="80"/>
              <w:left w:type="dxa" w:w="120"/>
              <w:bottom w:type="dxa" w:w="80"/>
              <w:right w:type="dxa" w:w="120"/>
            </w:tcMar>
            <w:vAlign w:val="top"/>
          </w:tcPr>
          <w:p>
            <w:r>
              <w:rPr>
                <w:rFonts w:ascii="Calibri" w:cs="Calibri" w:eastAsia="Calibri" w:hAnsi="Calibri"/>
                <w:b w:val="false"/>
                <w:bCs w:val="false"/>
                <w:sz w:val="20"/>
                <w:szCs w:val="20"/>
              </w:rPr>
              <w:t xml:space="preserve">$50,000</w:t>
            </w:r>
          </w:p>
        </w:tc>
      </w:tr>
      <w:tr>
        <w:tc>
          <w:tcPr>
            <w:tcW w:type="dxa" w:w="40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Working Capital and Reserve</w:t>
            </w:r>
          </w:p>
        </w:tc>
        <w:tc>
          <w:tcPr>
            <w:tcW w:type="dxa" w:w="20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15%</w:t>
            </w:r>
          </w:p>
        </w:tc>
        <w:tc>
          <w:tcPr>
            <w:tcW w:type="dxa" w:w="33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$75,000</w:t>
            </w:r>
          </w:p>
        </w:tc>
      </w:tr>
      <w:tr>
        <w:tc>
          <w:tcPr>
            <w:tcW w:type="dxa" w:w="4000"/>
            <w:tcMar>
              <w:top w:type="dxa" w:w="80"/>
              <w:left w:type="dxa" w:w="120"/>
              <w:bottom w:type="dxa" w:w="80"/>
              <w:right w:type="dxa" w:w="120"/>
            </w:tcMar>
            <w:vAlign w:val="top"/>
          </w:tcPr>
          <w:p>
            <w:r>
              <w:rPr>
                <w:rFonts w:ascii="Calibri" w:cs="Calibri" w:eastAsia="Calibri" w:hAnsi="Calibri"/>
                <w:b w:val="false"/>
                <w:bCs w:val="false"/>
                <w:sz w:val="20"/>
                <w:szCs w:val="20"/>
              </w:rPr>
              <w:t xml:space="preserve">Total</w:t>
            </w:r>
          </w:p>
        </w:tc>
        <w:tc>
          <w:tcPr>
            <w:tcW w:type="dxa" w:w="2000"/>
            <w:tcMar>
              <w:top w:type="dxa" w:w="80"/>
              <w:left w:type="dxa" w:w="120"/>
              <w:bottom w:type="dxa" w:w="80"/>
              <w:right w:type="dxa" w:w="120"/>
            </w:tcMar>
            <w:vAlign w:val="top"/>
          </w:tcPr>
          <w:p>
            <w:r>
              <w:rPr>
                <w:rFonts w:ascii="Calibri" w:cs="Calibri" w:eastAsia="Calibri" w:hAnsi="Calibri"/>
                <w:b w:val="false"/>
                <w:bCs w:val="false"/>
                <w:sz w:val="20"/>
                <w:szCs w:val="20"/>
              </w:rPr>
              <w:t xml:space="preserve">100%</w:t>
            </w:r>
          </w:p>
        </w:tc>
        <w:tc>
          <w:tcPr>
            <w:tcW w:type="dxa" w:w="3360"/>
            <w:tcMar>
              <w:top w:type="dxa" w:w="80"/>
              <w:left w:type="dxa" w:w="120"/>
              <w:bottom w:type="dxa" w:w="80"/>
              <w:right w:type="dxa" w:w="120"/>
            </w:tcMar>
            <w:vAlign w:val="top"/>
          </w:tcPr>
          <w:p>
            <w:r>
              <w:rPr>
                <w:rFonts w:ascii="Calibri" w:cs="Calibri" w:eastAsia="Calibri" w:hAnsi="Calibri"/>
                <w:b w:val="false"/>
                <w:bCs w:val="false"/>
                <w:sz w:val="20"/>
                <w:szCs w:val="20"/>
              </w:rPr>
              <w:t xml:space="preserve">$500,000</w:t>
            </w:r>
          </w:p>
        </w:tc>
      </w:tr>
    </w:tbl>
    <w:p>
      <w:pPr>
        <w:spacing w:after="160" w:before="0"/>
        <w:jc w:val="left"/>
      </w:pPr>
      <w:r>
        <w:rPr>
          <w:rFonts w:ascii="Calibri" w:cs="Calibri" w:eastAsia="Calibri" w:hAnsi="Calibri"/>
          <w:b w:val="false"/>
          <w:bCs w:val="false"/>
          <w:sz w:val="22"/>
          <w:szCs w:val="22"/>
        </w:rPr>
        <w:t xml:space="preserve"/>
      </w:r>
    </w:p>
    <w:p>
      <w:pPr>
        <w:spacing w:after="60" w:before="0"/>
        <w:jc w:val="left"/>
      </w:pPr>
      <w:r>
        <w:rPr>
          <w:rFonts w:ascii="Calibri" w:cs="Calibri" w:eastAsia="Calibri" w:hAnsi="Calibri"/>
          <w:b/>
          <w:bCs/>
          <w:sz w:val="22"/>
          <w:szCs w:val="22"/>
        </w:rPr>
        <w:t xml:space="preserve">Product and Engineering ($175,000):</w:t>
      </w:r>
    </w:p>
    <w:p>
      <w:pPr>
        <w:spacing w:after="140" w:before="0"/>
        <w:jc w:val="left"/>
      </w:pPr>
      <w:r>
        <w:rPr>
          <w:rFonts w:ascii="Calibri" w:cs="Calibri" w:eastAsia="Calibri" w:hAnsi="Calibri"/>
          <w:b w:val="false"/>
          <w:bCs w:val="false"/>
          <w:sz w:val="22"/>
          <w:szCs w:val="22"/>
        </w:rPr>
        <w:t xml:space="preserve">Transition from paper to live trading, Stripe payment integration and subscriber portal, premium tier dashboard development, FMP institutional data provider migration, and infrastructure scaling.</w:t>
      </w:r>
    </w:p>
    <w:p>
      <w:pPr>
        <w:spacing w:after="60" w:before="0"/>
        <w:jc w:val="left"/>
      </w:pPr>
      <w:r>
        <w:rPr>
          <w:rFonts w:ascii="Calibri" w:cs="Calibri" w:eastAsia="Calibri" w:hAnsi="Calibri"/>
          <w:b/>
          <w:bCs/>
          <w:sz w:val="22"/>
          <w:szCs w:val="22"/>
        </w:rPr>
        <w:t xml:space="preserve">Marketing and Subscriber Acquisition ($200,000):</w:t>
      </w:r>
    </w:p>
    <w:p>
      <w:pPr>
        <w:spacing w:after="140" w:before="0"/>
        <w:jc w:val="left"/>
      </w:pPr>
      <w:r>
        <w:rPr>
          <w:rFonts w:ascii="Calibri" w:cs="Calibri" w:eastAsia="Calibri" w:hAnsi="Calibri"/>
          <w:b w:val="false"/>
          <w:bCs w:val="false"/>
          <w:sz w:val="22"/>
          <w:szCs w:val="22"/>
        </w:rPr>
        <w:t xml:space="preserve">Google Ads and Facebook/Instagram campaigns with APAC targeting, KOL partnerships and content creation, SEO and content marketing expansion, and community building across WeChat, Xiaohongshu, and Twitter/X.</w:t>
      </w:r>
    </w:p>
    <w:p>
      <w:pPr>
        <w:spacing w:after="60" w:before="0"/>
        <w:jc w:val="left"/>
      </w:pPr>
      <w:r>
        <w:rPr>
          <w:rFonts w:ascii="Calibri" w:cs="Calibri" w:eastAsia="Calibri" w:hAnsi="Calibri"/>
          <w:b/>
          <w:bCs/>
          <w:sz w:val="22"/>
          <w:szCs w:val="22"/>
        </w:rPr>
        <w:t xml:space="preserve">Operations and Compliance ($50,000):</w:t>
      </w:r>
    </w:p>
    <w:p>
      <w:pPr>
        <w:spacing w:after="140" w:before="0"/>
        <w:jc w:val="left"/>
      </w:pPr>
      <w:r>
        <w:rPr>
          <w:rFonts w:ascii="Calibri" w:cs="Calibri" w:eastAsia="Calibri" w:hAnsi="Calibri"/>
          <w:b w:val="false"/>
          <w:bCs w:val="false"/>
          <w:sz w:val="22"/>
          <w:szCs w:val="22"/>
        </w:rPr>
        <w:t xml:space="preserve">Legal costs for company constitution, investor agreements, and IP assignment; AFSL pathway assessment and compliance advisory; ASIC company secretarial requirements.</w:t>
      </w:r>
    </w:p>
    <w:p>
      <w:pPr>
        <w:spacing w:after="60" w:before="0"/>
        <w:jc w:val="left"/>
      </w:pPr>
      <w:r>
        <w:rPr>
          <w:rFonts w:ascii="Calibri" w:cs="Calibri" w:eastAsia="Calibri" w:hAnsi="Calibri"/>
          <w:b/>
          <w:bCs/>
          <w:sz w:val="22"/>
          <w:szCs w:val="22"/>
        </w:rPr>
        <w:t xml:space="preserve">Working Capital and Reserve ($75,000):</w:t>
      </w:r>
    </w:p>
    <w:p>
      <w:pPr>
        <w:spacing w:after="140" w:before="0"/>
        <w:jc w:val="left"/>
      </w:pPr>
      <w:r>
        <w:rPr>
          <w:rFonts w:ascii="Calibri" w:cs="Calibri" w:eastAsia="Calibri" w:hAnsi="Calibri"/>
          <w:b w:val="false"/>
          <w:bCs w:val="false"/>
          <w:sz w:val="22"/>
          <w:szCs w:val="22"/>
        </w:rPr>
        <w:t xml:space="preserve">Six-month operational runway buffer and ongoing infrastructure costs (Render, Supabase, Alpha Vantage, Tiger API).</w:t>
      </w:r>
    </w:p>
    <w:p>
      <w:r>
        <w:br w:type="page"/>
      </w:r>
    </w:p>
    <w:p>
      <w:pPr>
        <w:pStyle w:val="Heading1"/>
        <w:spacing w:after="120" w:before="240"/>
        <w:outlineLvl w:val="0"/>
      </w:pPr>
      <w:r>
        <w:rPr>
          <w:rFonts w:ascii="Calibri" w:cs="Calibri" w:eastAsia="Calibri" w:hAnsi="Calibri"/>
          <w:b/>
          <w:bCs/>
          <w:color w:val="1a2744"/>
          <w:sz w:val="28"/>
          <w:szCs w:val="28"/>
        </w:rPr>
        <w:t xml:space="preserve">Section 9: Investment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Term</w:t>
            </w:r>
          </w:p>
        </w:tc>
        <w:tc>
          <w:tcPr>
            <w:tcW w:type="dxa" w:w="636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Detail</w:t>
            </w:r>
          </w:p>
        </w:tc>
      </w:tr>
      <w:tr>
        <w:tc>
          <w:tcPr>
            <w:tcW w:type="dxa" w:w="30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Instrument</w:t>
            </w:r>
          </w:p>
        </w:tc>
        <w:tc>
          <w:tcPr>
            <w:tcW w:type="dxa" w:w="63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Ordinary Shares (Pty Ltd)</w:t>
            </w:r>
          </w:p>
        </w:tc>
      </w:tr>
      <w:tr>
        <w:tc>
          <w:tcPr>
            <w:tcW w:type="dxa" w:w="3000"/>
            <w:tcMar>
              <w:top w:type="dxa" w:w="80"/>
              <w:left w:type="dxa" w:w="120"/>
              <w:bottom w:type="dxa" w:w="80"/>
              <w:right w:type="dxa" w:w="120"/>
            </w:tcMar>
            <w:vAlign w:val="top"/>
          </w:tcPr>
          <w:p>
            <w:r>
              <w:rPr>
                <w:rFonts w:ascii="Calibri" w:cs="Calibri" w:eastAsia="Calibri" w:hAnsi="Calibri"/>
                <w:b w:val="false"/>
                <w:bCs w:val="false"/>
                <w:sz w:val="20"/>
                <w:szCs w:val="20"/>
              </w:rPr>
              <w:t xml:space="preserve">Raise</w:t>
            </w:r>
          </w:p>
        </w:tc>
        <w:tc>
          <w:tcPr>
            <w:tcW w:type="dxa" w:w="6360"/>
            <w:tcMar>
              <w:top w:type="dxa" w:w="80"/>
              <w:left w:type="dxa" w:w="120"/>
              <w:bottom w:type="dxa" w:w="80"/>
              <w:right w:type="dxa" w:w="120"/>
            </w:tcMar>
            <w:vAlign w:val="top"/>
          </w:tcPr>
          <w:p>
            <w:r>
              <w:rPr>
                <w:rFonts w:ascii="Calibri" w:cs="Calibri" w:eastAsia="Calibri" w:hAnsi="Calibri"/>
                <w:b w:val="false"/>
                <w:bCs w:val="false"/>
                <w:sz w:val="20"/>
                <w:szCs w:val="20"/>
              </w:rPr>
              <w:t xml:space="preserve">USD $500,000</w:t>
            </w:r>
          </w:p>
        </w:tc>
      </w:tr>
      <w:tr>
        <w:tc>
          <w:tcPr>
            <w:tcW w:type="dxa" w:w="30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Pre-Money Valuation</w:t>
            </w:r>
          </w:p>
        </w:tc>
        <w:tc>
          <w:tcPr>
            <w:tcW w:type="dxa" w:w="63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USD $6,000,000</w:t>
            </w:r>
          </w:p>
        </w:tc>
      </w:tr>
      <w:tr>
        <w:tc>
          <w:tcPr>
            <w:tcW w:type="dxa" w:w="3000"/>
            <w:tcMar>
              <w:top w:type="dxa" w:w="80"/>
              <w:left w:type="dxa" w:w="120"/>
              <w:bottom w:type="dxa" w:w="80"/>
              <w:right w:type="dxa" w:w="120"/>
            </w:tcMar>
            <w:vAlign w:val="top"/>
          </w:tcPr>
          <w:p>
            <w:r>
              <w:rPr>
                <w:rFonts w:ascii="Calibri" w:cs="Calibri" w:eastAsia="Calibri" w:hAnsi="Calibri"/>
                <w:b w:val="false"/>
                <w:bCs w:val="false"/>
                <w:sz w:val="20"/>
                <w:szCs w:val="20"/>
              </w:rPr>
              <w:t xml:space="preserve">Post-Money Valuation</w:t>
            </w:r>
          </w:p>
        </w:tc>
        <w:tc>
          <w:tcPr>
            <w:tcW w:type="dxa" w:w="6360"/>
            <w:tcMar>
              <w:top w:type="dxa" w:w="80"/>
              <w:left w:type="dxa" w:w="120"/>
              <w:bottom w:type="dxa" w:w="80"/>
              <w:right w:type="dxa" w:w="120"/>
            </w:tcMar>
            <w:vAlign w:val="top"/>
          </w:tcPr>
          <w:p>
            <w:r>
              <w:rPr>
                <w:rFonts w:ascii="Calibri" w:cs="Calibri" w:eastAsia="Calibri" w:hAnsi="Calibri"/>
                <w:b w:val="false"/>
                <w:bCs w:val="false"/>
                <w:sz w:val="20"/>
                <w:szCs w:val="20"/>
              </w:rPr>
              <w:t xml:space="preserve">USD $6,500,000</w:t>
            </w:r>
          </w:p>
        </w:tc>
      </w:tr>
      <w:tr>
        <w:tc>
          <w:tcPr>
            <w:tcW w:type="dxa" w:w="30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Equity Offered</w:t>
            </w:r>
          </w:p>
        </w:tc>
        <w:tc>
          <w:tcPr>
            <w:tcW w:type="dxa" w:w="63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~7.69%</w:t>
            </w:r>
          </w:p>
        </w:tc>
      </w:tr>
      <w:tr>
        <w:tc>
          <w:tcPr>
            <w:tcW w:type="dxa" w:w="3000"/>
            <w:tcMar>
              <w:top w:type="dxa" w:w="80"/>
              <w:left w:type="dxa" w:w="120"/>
              <w:bottom w:type="dxa" w:w="80"/>
              <w:right w:type="dxa" w:w="120"/>
            </w:tcMar>
            <w:vAlign w:val="top"/>
          </w:tcPr>
          <w:p>
            <w:r>
              <w:rPr>
                <w:rFonts w:ascii="Calibri" w:cs="Calibri" w:eastAsia="Calibri" w:hAnsi="Calibri"/>
                <w:b w:val="false"/>
                <w:bCs w:val="false"/>
                <w:sz w:val="20"/>
                <w:szCs w:val="20"/>
              </w:rPr>
              <w:t xml:space="preserve">Minimum Investment</w:t>
            </w:r>
          </w:p>
        </w:tc>
        <w:tc>
          <w:tcPr>
            <w:tcW w:type="dxa" w:w="6360"/>
            <w:tcMar>
              <w:top w:type="dxa" w:w="80"/>
              <w:left w:type="dxa" w:w="120"/>
              <w:bottom w:type="dxa" w:w="80"/>
              <w:right w:type="dxa" w:w="120"/>
            </w:tcMar>
            <w:vAlign w:val="top"/>
          </w:tcPr>
          <w:p>
            <w:r>
              <w:rPr>
                <w:rFonts w:ascii="Calibri" w:cs="Calibri" w:eastAsia="Calibri" w:hAnsi="Calibri"/>
                <w:b w:val="false"/>
                <w:bCs w:val="false"/>
                <w:sz w:val="20"/>
                <w:szCs w:val="20"/>
              </w:rPr>
              <w:t xml:space="preserve">USD $25,000</w:t>
            </w:r>
          </w:p>
        </w:tc>
      </w:tr>
      <w:tr>
        <w:tc>
          <w:tcPr>
            <w:tcW w:type="dxa" w:w="30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Option Pool</w:t>
            </w:r>
          </w:p>
        </w:tc>
        <w:tc>
          <w:tcPr>
            <w:tcW w:type="dxa" w:w="63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10% ESOP pool created post-close, dilutes pro-rata</w:t>
            </w:r>
          </w:p>
        </w:tc>
      </w:tr>
      <w:tr>
        <w:tc>
          <w:tcPr>
            <w:tcW w:type="dxa" w:w="3000"/>
            <w:tcMar>
              <w:top w:type="dxa" w:w="80"/>
              <w:left w:type="dxa" w:w="120"/>
              <w:bottom w:type="dxa" w:w="80"/>
              <w:right w:type="dxa" w:w="120"/>
            </w:tcMar>
            <w:vAlign w:val="top"/>
          </w:tcPr>
          <w:p>
            <w:r>
              <w:rPr>
                <w:rFonts w:ascii="Calibri" w:cs="Calibri" w:eastAsia="Calibri" w:hAnsi="Calibri"/>
                <w:b w:val="false"/>
                <w:bCs w:val="false"/>
                <w:sz w:val="20"/>
                <w:szCs w:val="20"/>
              </w:rPr>
              <w:t xml:space="preserve">Investor Rights</w:t>
            </w:r>
          </w:p>
        </w:tc>
        <w:tc>
          <w:tcPr>
            <w:tcW w:type="dxa" w:w="6360"/>
            <w:tcMar>
              <w:top w:type="dxa" w:w="80"/>
              <w:left w:type="dxa" w:w="120"/>
              <w:bottom w:type="dxa" w:w="80"/>
              <w:right w:type="dxa" w:w="120"/>
            </w:tcMar>
            <w:vAlign w:val="top"/>
          </w:tcPr>
          <w:p>
            <w:r>
              <w:rPr>
                <w:rFonts w:ascii="Calibri" w:cs="Calibri" w:eastAsia="Calibri" w:hAnsi="Calibri"/>
                <w:b w:val="false"/>
                <w:bCs w:val="false"/>
                <w:sz w:val="20"/>
                <w:szCs w:val="20"/>
              </w:rPr>
              <w:t xml:space="preserve">Quarterly financials, pro-rata right in next round</w:t>
            </w:r>
          </w:p>
        </w:tc>
      </w:tr>
      <w:tr>
        <w:tc>
          <w:tcPr>
            <w:tcW w:type="dxa" w:w="30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Board</w:t>
            </w:r>
          </w:p>
        </w:tc>
        <w:tc>
          <w:tcPr>
            <w:tcW w:type="dxa" w:w="63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2 founder seats; optional observer seat for investors over USD $100K</w:t>
            </w:r>
          </w:p>
        </w:tc>
      </w:tr>
      <w:tr>
        <w:tc>
          <w:tcPr>
            <w:tcW w:type="dxa" w:w="3000"/>
            <w:tcMar>
              <w:top w:type="dxa" w:w="80"/>
              <w:left w:type="dxa" w:w="120"/>
              <w:bottom w:type="dxa" w:w="80"/>
              <w:right w:type="dxa" w:w="120"/>
            </w:tcMar>
            <w:vAlign w:val="top"/>
          </w:tcPr>
          <w:p>
            <w:r>
              <w:rPr>
                <w:rFonts w:ascii="Calibri" w:cs="Calibri" w:eastAsia="Calibri" w:hAnsi="Calibri"/>
                <w:b w:val="false"/>
                <w:bCs w:val="false"/>
                <w:sz w:val="20"/>
                <w:szCs w:val="20"/>
              </w:rPr>
              <w:t xml:space="preserve">Offer Type</w:t>
            </w:r>
          </w:p>
        </w:tc>
        <w:tc>
          <w:tcPr>
            <w:tcW w:type="dxa" w:w="6360"/>
            <w:tcMar>
              <w:top w:type="dxa" w:w="80"/>
              <w:left w:type="dxa" w:w="120"/>
              <w:bottom w:type="dxa" w:w="80"/>
              <w:right w:type="dxa" w:w="120"/>
            </w:tcMar>
            <w:vAlign w:val="top"/>
          </w:tcPr>
          <w:p>
            <w:r>
              <w:rPr>
                <w:rFonts w:ascii="Calibri" w:cs="Calibri" w:eastAsia="Calibri" w:hAnsi="Calibri"/>
                <w:b w:val="false"/>
                <w:bCs w:val="false"/>
                <w:sz w:val="20"/>
                <w:szCs w:val="20"/>
              </w:rPr>
              <w:t xml:space="preserve">Private personal offer under s708(1) Corporations Act 2001 (Cth)</w:t>
            </w:r>
          </w:p>
        </w:tc>
      </w:tr>
    </w:tbl>
    <w:p>
      <w:pPr>
        <w:spacing w:after="160" w:before="0"/>
        <w:jc w:val="left"/>
      </w:pPr>
      <w:r>
        <w:rPr>
          <w:rFonts w:ascii="Calibri" w:cs="Calibri" w:eastAsia="Calibri" w:hAnsi="Calibri"/>
          <w:b w:val="false"/>
          <w:bCs w:val="false"/>
          <w:sz w:val="22"/>
          <w:szCs w:val="22"/>
        </w:rPr>
        <w:t xml:space="preserve"/>
      </w:r>
    </w:p>
    <w:p>
      <w:pPr>
        <w:pStyle w:val="Heading2"/>
        <w:spacing w:after="100" w:before="200"/>
        <w:outlineLvl w:val="1"/>
      </w:pPr>
      <w:r>
        <w:rPr>
          <w:rFonts w:ascii="Calibri" w:cs="Calibri" w:eastAsia="Calibri" w:hAnsi="Calibri"/>
          <w:b/>
          <w:bCs/>
          <w:color w:val="1a2744"/>
          <w:sz w:val="24"/>
          <w:szCs w:val="24"/>
        </w:rPr>
        <w:t xml:space="preserve">9.1 Indicative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Milestone</w:t>
            </w:r>
          </w:p>
        </w:tc>
        <w:tc>
          <w:tcPr>
            <w:tcW w:type="dxa" w:w="468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Target Date</w:t>
            </w:r>
          </w:p>
        </w:tc>
      </w:tr>
      <w:tr>
        <w:tc>
          <w:tcPr>
            <w:tcW w:type="dxa" w:w="4680"/>
            <w:tcMar>
              <w:top w:type="dxa" w:w="80"/>
              <w:left w:type="dxa" w:w="120"/>
              <w:bottom w:type="dxa" w:w="80"/>
              <w:right w:type="dxa" w:w="120"/>
            </w:tcMar>
            <w:vAlign w:val="top"/>
          </w:tcPr>
          <w:p>
            <w:r>
              <w:rPr>
                <w:rFonts w:ascii="Calibri" w:cs="Calibri" w:eastAsia="Calibri" w:hAnsi="Calibri"/>
                <w:b w:val="false"/>
                <w:bCs w:val="false"/>
                <w:sz w:val="20"/>
                <w:szCs w:val="20"/>
              </w:rPr>
              <w:t xml:space="preserve">Company incorporation (ASIC)</w:t>
            </w:r>
          </w:p>
        </w:tc>
        <w:tc>
          <w:tcPr>
            <w:tcW w:type="dxa" w:w="4680"/>
            <w:tcMar>
              <w:top w:type="dxa" w:w="80"/>
              <w:left w:type="dxa" w:w="120"/>
              <w:bottom w:type="dxa" w:w="80"/>
              <w:right w:type="dxa" w:w="120"/>
            </w:tcMar>
            <w:vAlign w:val="top"/>
          </w:tcPr>
          <w:p>
            <w:r>
              <w:rPr>
                <w:rFonts w:ascii="Calibri" w:cs="Calibri" w:eastAsia="Calibri" w:hAnsi="Calibri"/>
                <w:b w:val="false"/>
                <w:bCs w:val="false"/>
                <w:sz w:val="20"/>
                <w:szCs w:val="20"/>
              </w:rPr>
              <w:t xml:space="preserve">April 2026</w:t>
            </w:r>
          </w:p>
        </w:tc>
      </w:tr>
      <w:tr>
        <w:tc>
          <w:tcPr>
            <w:tcW w:type="dxa" w:w="468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Shareholders Agreement executed</w:t>
            </w:r>
          </w:p>
        </w:tc>
        <w:tc>
          <w:tcPr>
            <w:tcW w:type="dxa" w:w="468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April 2026</w:t>
            </w:r>
          </w:p>
        </w:tc>
      </w:tr>
      <w:tr>
        <w:tc>
          <w:tcPr>
            <w:tcW w:type="dxa" w:w="4680"/>
            <w:tcMar>
              <w:top w:type="dxa" w:w="80"/>
              <w:left w:type="dxa" w:w="120"/>
              <w:bottom w:type="dxa" w:w="80"/>
              <w:right w:type="dxa" w:w="120"/>
            </w:tcMar>
            <w:vAlign w:val="top"/>
          </w:tcPr>
          <w:p>
            <w:r>
              <w:rPr>
                <w:rFonts w:ascii="Calibri" w:cs="Calibri" w:eastAsia="Calibri" w:hAnsi="Calibri"/>
                <w:b w:val="false"/>
                <w:bCs w:val="false"/>
                <w:sz w:val="20"/>
                <w:szCs w:val="20"/>
              </w:rPr>
              <w:t xml:space="preserve">Subscription Agreements signed</w:t>
            </w:r>
          </w:p>
        </w:tc>
        <w:tc>
          <w:tcPr>
            <w:tcW w:type="dxa" w:w="4680"/>
            <w:tcMar>
              <w:top w:type="dxa" w:w="80"/>
              <w:left w:type="dxa" w:w="120"/>
              <w:bottom w:type="dxa" w:w="80"/>
              <w:right w:type="dxa" w:w="120"/>
            </w:tcMar>
            <w:vAlign w:val="top"/>
          </w:tcPr>
          <w:p>
            <w:r>
              <w:rPr>
                <w:rFonts w:ascii="Calibri" w:cs="Calibri" w:eastAsia="Calibri" w:hAnsi="Calibri"/>
                <w:b w:val="false"/>
                <w:bCs w:val="false"/>
                <w:sz w:val="20"/>
                <w:szCs w:val="20"/>
              </w:rPr>
              <w:t xml:space="preserve">April-May 2026</w:t>
            </w:r>
          </w:p>
        </w:tc>
      </w:tr>
      <w:tr>
        <w:tc>
          <w:tcPr>
            <w:tcW w:type="dxa" w:w="468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Funds received</w:t>
            </w:r>
          </w:p>
        </w:tc>
        <w:tc>
          <w:tcPr>
            <w:tcW w:type="dxa" w:w="468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May 2026</w:t>
            </w:r>
          </w:p>
        </w:tc>
      </w:tr>
      <w:tr>
        <w:tc>
          <w:tcPr>
            <w:tcW w:type="dxa" w:w="4680"/>
            <w:tcMar>
              <w:top w:type="dxa" w:w="80"/>
              <w:left w:type="dxa" w:w="120"/>
              <w:bottom w:type="dxa" w:w="80"/>
              <w:right w:type="dxa" w:w="120"/>
            </w:tcMar>
            <w:vAlign w:val="top"/>
          </w:tcPr>
          <w:p>
            <w:r>
              <w:rPr>
                <w:rFonts w:ascii="Calibri" w:cs="Calibri" w:eastAsia="Calibri" w:hAnsi="Calibri"/>
                <w:b w:val="false"/>
                <w:bCs w:val="false"/>
                <w:sz w:val="20"/>
                <w:szCs w:val="20"/>
              </w:rPr>
              <w:t xml:space="preserve">Live trading launch</w:t>
            </w:r>
          </w:p>
        </w:tc>
        <w:tc>
          <w:tcPr>
            <w:tcW w:type="dxa" w:w="4680"/>
            <w:tcMar>
              <w:top w:type="dxa" w:w="80"/>
              <w:left w:type="dxa" w:w="120"/>
              <w:bottom w:type="dxa" w:w="80"/>
              <w:right w:type="dxa" w:w="120"/>
            </w:tcMar>
            <w:vAlign w:val="top"/>
          </w:tcPr>
          <w:p>
            <w:r>
              <w:rPr>
                <w:rFonts w:ascii="Calibri" w:cs="Calibri" w:eastAsia="Calibri" w:hAnsi="Calibri"/>
                <w:b w:val="false"/>
                <w:bCs w:val="false"/>
                <w:sz w:val="20"/>
                <w:szCs w:val="20"/>
              </w:rPr>
              <w:t xml:space="preserve">June 2026</w:t>
            </w:r>
          </w:p>
        </w:tc>
      </w:tr>
      <w:tr>
        <w:tc>
          <w:tcPr>
            <w:tcW w:type="dxa" w:w="468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Stripe paywall live</w:t>
            </w:r>
          </w:p>
        </w:tc>
        <w:tc>
          <w:tcPr>
            <w:tcW w:type="dxa" w:w="468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June 2026</w:t>
            </w:r>
          </w:p>
        </w:tc>
      </w:tr>
      <w:tr>
        <w:tc>
          <w:tcPr>
            <w:tcW w:type="dxa" w:w="4680"/>
            <w:tcMar>
              <w:top w:type="dxa" w:w="80"/>
              <w:left w:type="dxa" w:w="120"/>
              <w:bottom w:type="dxa" w:w="80"/>
              <w:right w:type="dxa" w:w="120"/>
            </w:tcMar>
            <w:vAlign w:val="top"/>
          </w:tcPr>
          <w:p>
            <w:r>
              <w:rPr>
                <w:rFonts w:ascii="Calibri" w:cs="Calibri" w:eastAsia="Calibri" w:hAnsi="Calibri"/>
                <w:b w:val="false"/>
                <w:bCs w:val="false"/>
                <w:sz w:val="20"/>
                <w:szCs w:val="20"/>
              </w:rPr>
              <w:t xml:space="preserve">100 paid subscribers</w:t>
            </w:r>
          </w:p>
        </w:tc>
        <w:tc>
          <w:tcPr>
            <w:tcW w:type="dxa" w:w="4680"/>
            <w:tcMar>
              <w:top w:type="dxa" w:w="80"/>
              <w:left w:type="dxa" w:w="120"/>
              <w:bottom w:type="dxa" w:w="80"/>
              <w:right w:type="dxa" w:w="120"/>
            </w:tcMar>
            <w:vAlign w:val="top"/>
          </w:tcPr>
          <w:p>
            <w:r>
              <w:rPr>
                <w:rFonts w:ascii="Calibri" w:cs="Calibri" w:eastAsia="Calibri" w:hAnsi="Calibri"/>
                <w:b w:val="false"/>
                <w:bCs w:val="false"/>
                <w:sz w:val="20"/>
                <w:szCs w:val="20"/>
              </w:rPr>
              <w:t xml:space="preserve">September 2026</w:t>
            </w:r>
          </w:p>
        </w:tc>
      </w:tr>
    </w:tbl>
    <w:p>
      <w:r>
        <w:br w:type="page"/>
      </w:r>
    </w:p>
    <w:p>
      <w:pPr>
        <w:pStyle w:val="Heading1"/>
        <w:spacing w:after="120" w:before="240"/>
        <w:outlineLvl w:val="0"/>
      </w:pPr>
      <w:r>
        <w:rPr>
          <w:rFonts w:ascii="Calibri" w:cs="Calibri" w:eastAsia="Calibri" w:hAnsi="Calibri"/>
          <w:b/>
          <w:bCs/>
          <w:color w:val="1a2744"/>
          <w:sz w:val="28"/>
          <w:szCs w:val="28"/>
        </w:rPr>
        <w:t xml:space="preserve">Section 10: Risk Factors</w:t>
      </w:r>
    </w:p>
    <w:p>
      <w:pPr>
        <w:spacing w:after="140" w:before="0"/>
        <w:jc w:val="left"/>
      </w:pPr>
      <w:r>
        <w:rPr>
          <w:rFonts w:ascii="Calibri" w:cs="Calibri" w:eastAsia="Calibri" w:hAnsi="Calibri"/>
          <w:b w:val="false"/>
          <w:bCs w:val="false"/>
          <w:sz w:val="22"/>
          <w:szCs w:val="22"/>
        </w:rPr>
        <w:t xml:space="preserve">Prospective investors should carefully consider the following risks. This list is not exhaustive.</w:t>
      </w:r>
    </w:p>
    <w:p>
      <w:pPr>
        <w:pStyle w:val="Heading2"/>
        <w:spacing w:after="100" w:before="200"/>
        <w:outlineLvl w:val="1"/>
      </w:pPr>
      <w:r>
        <w:rPr>
          <w:rFonts w:ascii="Calibri" w:cs="Calibri" w:eastAsia="Calibri" w:hAnsi="Calibri"/>
          <w:b/>
          <w:bCs/>
          <w:color w:val="1a2744"/>
          <w:sz w:val="24"/>
          <w:szCs w:val="24"/>
        </w:rPr>
        <w:t xml:space="preserve">10.1 Investment and Financial Risks</w:t>
      </w:r>
    </w:p>
    <w:p>
      <w:pPr>
        <w:spacing w:after="80"/>
        <w:ind w:left="360" w:hanging="240"/>
      </w:pPr>
      <w:r>
        <w:rPr>
          <w:rFonts w:ascii="Calibri" w:cs="Calibri" w:eastAsia="Calibri" w:hAnsi="Calibri"/>
          <w:b w:val="false"/>
          <w:bCs w:val="false"/>
          <w:sz w:val="22"/>
          <w:szCs w:val="22"/>
        </w:rPr>
        <w:t>-  Early Stage Risk: Pre-revenue and pre-incorporation. No guarantee of commercial success.</w:t>
      </w:r>
    </w:p>
    <w:p>
      <w:pPr>
        <w:spacing w:after="80"/>
        <w:ind w:left="360" w:hanging="240"/>
      </w:pPr>
      <w:r>
        <w:rPr>
          <w:rFonts w:ascii="Calibri" w:cs="Calibri" w:eastAsia="Calibri" w:hAnsi="Calibri"/>
          <w:b w:val="false"/>
          <w:bCs w:val="false"/>
          <w:sz w:val="22"/>
          <w:szCs w:val="22"/>
        </w:rPr>
        <w:t>-  Capital Loss Risk: Investment in early-stage companies is highly speculative. You may lose all or part of your investment.</w:t>
      </w:r>
    </w:p>
    <w:p>
      <w:pPr>
        <w:spacing w:after="80"/>
        <w:ind w:left="360" w:hanging="240"/>
      </w:pPr>
      <w:r>
        <w:rPr>
          <w:rFonts w:ascii="Calibri" w:cs="Calibri" w:eastAsia="Calibri" w:hAnsi="Calibri"/>
          <w:b w:val="false"/>
          <w:bCs w:val="false"/>
          <w:sz w:val="22"/>
          <w:szCs w:val="22"/>
        </w:rPr>
        <w:t>-  Dilution Risk: Future funding rounds will dilute existing shareholders.</w:t>
      </w:r>
    </w:p>
    <w:p>
      <w:pPr>
        <w:spacing w:after="80"/>
        <w:ind w:left="360" w:hanging="240"/>
      </w:pPr>
      <w:r>
        <w:rPr>
          <w:rFonts w:ascii="Calibri" w:cs="Calibri" w:eastAsia="Calibri" w:hAnsi="Calibri"/>
          <w:b w:val="false"/>
          <w:bCs w:val="false"/>
          <w:sz w:val="22"/>
          <w:szCs w:val="22"/>
        </w:rPr>
        <w:t>-  Valuation Risk: Pre-money valuation is based on proprietary estimates and may not reflect true market value.</w:t>
      </w:r>
    </w:p>
    <w:p>
      <w:pPr>
        <w:spacing w:after="120" w:before="0"/>
        <w:jc w:val="left"/>
      </w:pPr>
      <w:r>
        <w:rPr>
          <w:rFonts w:ascii="Calibri" w:cs="Calibri" w:eastAsia="Calibri" w:hAnsi="Calibri"/>
          <w:b w:val="false"/>
          <w:bCs w:val="false"/>
          <w:sz w:val="22"/>
          <w:szCs w:val="22"/>
        </w:rPr>
        <w:t xml:space="preserve"/>
      </w:r>
    </w:p>
    <w:p>
      <w:pPr>
        <w:pStyle w:val="Heading2"/>
        <w:spacing w:after="100" w:before="200"/>
        <w:outlineLvl w:val="1"/>
      </w:pPr>
      <w:r>
        <w:rPr>
          <w:rFonts w:ascii="Calibri" w:cs="Calibri" w:eastAsia="Calibri" w:hAnsi="Calibri"/>
          <w:b/>
          <w:bCs/>
          <w:color w:val="1a2744"/>
          <w:sz w:val="24"/>
          <w:szCs w:val="24"/>
        </w:rPr>
        <w:t xml:space="preserve">10.2 Strategy and Performance Risks</w:t>
      </w:r>
    </w:p>
    <w:p>
      <w:pPr>
        <w:spacing w:after="80"/>
        <w:ind w:left="360" w:hanging="240"/>
      </w:pPr>
      <w:r>
        <w:rPr>
          <w:rFonts w:ascii="Calibri" w:cs="Calibri" w:eastAsia="Calibri" w:hAnsi="Calibri"/>
          <w:b w:val="false"/>
          <w:bCs w:val="false"/>
          <w:sz w:val="22"/>
          <w:szCs w:val="22"/>
        </w:rPr>
        <w:t>-  Backtesting Limitations: All figures are walk-forward simulation. Not indicative of future performance.</w:t>
      </w:r>
    </w:p>
    <w:p>
      <w:pPr>
        <w:spacing w:after="80"/>
        <w:ind w:left="360" w:hanging="240"/>
      </w:pPr>
      <w:r>
        <w:rPr>
          <w:rFonts w:ascii="Calibri" w:cs="Calibri" w:eastAsia="Calibri" w:hAnsi="Calibri"/>
          <w:b w:val="false"/>
          <w:bCs w:val="false"/>
          <w:sz w:val="22"/>
          <w:szCs w:val="22"/>
        </w:rPr>
        <w:t>-  Model Risk: Quantitative models may fail in market regimes not in historical data. The 2021 FOMO market caused Event-Driven underperformance.</w:t>
      </w:r>
    </w:p>
    <w:p>
      <w:pPr>
        <w:spacing w:after="80"/>
        <w:ind w:left="360" w:hanging="240"/>
      </w:pPr>
      <w:r>
        <w:rPr>
          <w:rFonts w:ascii="Calibri" w:cs="Calibri" w:eastAsia="Calibri" w:hAnsi="Calibri"/>
          <w:b w:val="false"/>
          <w:bCs w:val="false"/>
          <w:sz w:val="22"/>
          <w:szCs w:val="22"/>
        </w:rPr>
        <w:t>-  Market Risk: Maximum simulated drawdown is -19.1%, but actual drawdowns may be larger.</w:t>
      </w:r>
    </w:p>
    <w:p>
      <w:pPr>
        <w:spacing w:after="80"/>
        <w:ind w:left="360" w:hanging="240"/>
      </w:pPr>
      <w:r>
        <w:rPr>
          <w:rFonts w:ascii="Calibri" w:cs="Calibri" w:eastAsia="Calibri" w:hAnsi="Calibri"/>
          <w:b w:val="false"/>
          <w:bCs w:val="false"/>
          <w:sz w:val="22"/>
          <w:szCs w:val="22"/>
        </w:rPr>
        <w:t>-  Regime Misclassification: Incorrect regime classification may lead to suboptimal allocation.</w:t>
      </w:r>
    </w:p>
    <w:p>
      <w:pPr>
        <w:spacing w:after="120" w:before="0"/>
        <w:jc w:val="left"/>
      </w:pPr>
      <w:r>
        <w:rPr>
          <w:rFonts w:ascii="Calibri" w:cs="Calibri" w:eastAsia="Calibri" w:hAnsi="Calibri"/>
          <w:b w:val="false"/>
          <w:bCs w:val="false"/>
          <w:sz w:val="22"/>
          <w:szCs w:val="22"/>
        </w:rPr>
        <w:t xml:space="preserve"/>
      </w:r>
    </w:p>
    <w:p>
      <w:pPr>
        <w:pStyle w:val="Heading2"/>
        <w:spacing w:after="100" w:before="200"/>
        <w:outlineLvl w:val="1"/>
      </w:pPr>
      <w:r>
        <w:rPr>
          <w:rFonts w:ascii="Calibri" w:cs="Calibri" w:eastAsia="Calibri" w:hAnsi="Calibri"/>
          <w:b/>
          <w:bCs/>
          <w:color w:val="1a2744"/>
          <w:sz w:val="24"/>
          <w:szCs w:val="24"/>
        </w:rPr>
        <w:t xml:space="preserve">10.3 Regulatory and Compliance Risks</w:t>
      </w:r>
    </w:p>
    <w:p>
      <w:pPr>
        <w:spacing w:after="80"/>
        <w:ind w:left="360" w:hanging="240"/>
      </w:pPr>
      <w:r>
        <w:rPr>
          <w:rFonts w:ascii="Calibri" w:cs="Calibri" w:eastAsia="Calibri" w:hAnsi="Calibri"/>
          <w:b w:val="false"/>
          <w:bCs w:val="false"/>
          <w:sz w:val="22"/>
          <w:szCs w:val="22"/>
        </w:rPr>
        <w:t>-  AFSL Risk: No AFSL held. Signal product relies on General Advice positioning. Regulatory changes may require licence or business model modification.</w:t>
      </w:r>
    </w:p>
    <w:p>
      <w:pPr>
        <w:spacing w:after="80"/>
        <w:ind w:left="360" w:hanging="240"/>
      </w:pPr>
      <w:r>
        <w:rPr>
          <w:rFonts w:ascii="Calibri" w:cs="Calibri" w:eastAsia="Calibri" w:hAnsi="Calibri"/>
          <w:b w:val="false"/>
          <w:bCs w:val="false"/>
          <w:sz w:val="22"/>
          <w:szCs w:val="22"/>
        </w:rPr>
        <w:t>-  Offshore Regulatory Risk: APAC market operations may trigger securities licensing requirements in those jurisdictions.</w:t>
      </w:r>
    </w:p>
    <w:p>
      <w:pPr>
        <w:spacing w:after="120" w:before="0"/>
        <w:jc w:val="left"/>
      </w:pPr>
      <w:r>
        <w:rPr>
          <w:rFonts w:ascii="Calibri" w:cs="Calibri" w:eastAsia="Calibri" w:hAnsi="Calibri"/>
          <w:b w:val="false"/>
          <w:bCs w:val="false"/>
          <w:sz w:val="22"/>
          <w:szCs w:val="22"/>
        </w:rPr>
        <w:t xml:space="preserve"/>
      </w:r>
    </w:p>
    <w:p>
      <w:pPr>
        <w:pStyle w:val="Heading2"/>
        <w:spacing w:after="100" w:before="200"/>
        <w:outlineLvl w:val="1"/>
      </w:pPr>
      <w:r>
        <w:rPr>
          <w:rFonts w:ascii="Calibri" w:cs="Calibri" w:eastAsia="Calibri" w:hAnsi="Calibri"/>
          <w:b/>
          <w:bCs/>
          <w:color w:val="1a2744"/>
          <w:sz w:val="24"/>
          <w:szCs w:val="24"/>
        </w:rPr>
        <w:t xml:space="preserve">10.4 Operational and Technology Risks</w:t>
      </w:r>
    </w:p>
    <w:p>
      <w:pPr>
        <w:spacing w:after="80"/>
        <w:ind w:left="360" w:hanging="240"/>
      </w:pPr>
      <w:r>
        <w:rPr>
          <w:rFonts w:ascii="Calibri" w:cs="Calibri" w:eastAsia="Calibri" w:hAnsi="Calibri"/>
          <w:b w:val="false"/>
          <w:bCs w:val="false"/>
          <w:sz w:val="22"/>
          <w:szCs w:val="22"/>
        </w:rPr>
        <w:t>-  Key Person Risk: Quantitative engine primarily maintained by Pengyu Deng. His departure would materially impact operations.</w:t>
      </w:r>
    </w:p>
    <w:p>
      <w:pPr>
        <w:spacing w:after="80"/>
        <w:ind w:left="360" w:hanging="240"/>
      </w:pPr>
      <w:r>
        <w:rPr>
          <w:rFonts w:ascii="Calibri" w:cs="Calibri" w:eastAsia="Calibri" w:hAnsi="Calibri"/>
          <w:b w:val="false"/>
          <w:bCs w:val="false"/>
          <w:sz w:val="22"/>
          <w:szCs w:val="22"/>
        </w:rPr>
        <w:t>-  Data Vendor Risk: Dependence on Alpha Vantage and Tiger Brokers APIs. Service disruption could impact operations.</w:t>
      </w:r>
    </w:p>
    <w:p>
      <w:pPr>
        <w:spacing w:after="80"/>
        <w:ind w:left="360" w:hanging="240"/>
      </w:pPr>
      <w:r>
        <w:rPr>
          <w:rFonts w:ascii="Calibri" w:cs="Calibri" w:eastAsia="Calibri" w:hAnsi="Calibri"/>
          <w:b w:val="false"/>
          <w:bCs w:val="false"/>
          <w:sz w:val="22"/>
          <w:szCs w:val="22"/>
        </w:rPr>
        <w:t>-  Cybersecurity Risk: Subscriber financial data management creates breach exposure.</w:t>
      </w:r>
    </w:p>
    <w:p>
      <w:pPr>
        <w:spacing w:after="80"/>
        <w:ind w:left="360" w:hanging="240"/>
      </w:pPr>
      <w:r>
        <w:rPr>
          <w:rFonts w:ascii="Calibri" w:cs="Calibri" w:eastAsia="Calibri" w:hAnsi="Calibri"/>
          <w:b w:val="false"/>
          <w:bCs w:val="false"/>
          <w:sz w:val="22"/>
          <w:szCs w:val="22"/>
        </w:rPr>
        <w:t>-  Infrastructure Risk: Reliance on Render and Supabase cloud providers.</w:t>
      </w:r>
    </w:p>
    <w:p>
      <w:pPr>
        <w:spacing w:after="120" w:before="0"/>
        <w:jc w:val="left"/>
      </w:pPr>
      <w:r>
        <w:rPr>
          <w:rFonts w:ascii="Calibri" w:cs="Calibri" w:eastAsia="Calibri" w:hAnsi="Calibri"/>
          <w:b w:val="false"/>
          <w:bCs w:val="false"/>
          <w:sz w:val="22"/>
          <w:szCs w:val="22"/>
        </w:rPr>
        <w:t xml:space="preserve"/>
      </w:r>
    </w:p>
    <w:p>
      <w:pPr>
        <w:pStyle w:val="Heading2"/>
        <w:spacing w:after="100" w:before="200"/>
        <w:outlineLvl w:val="1"/>
      </w:pPr>
      <w:r>
        <w:rPr>
          <w:rFonts w:ascii="Calibri" w:cs="Calibri" w:eastAsia="Calibri" w:hAnsi="Calibri"/>
          <w:b/>
          <w:bCs/>
          <w:color w:val="1a2744"/>
          <w:sz w:val="24"/>
          <w:szCs w:val="24"/>
        </w:rPr>
        <w:t xml:space="preserve">10.5 Market and Competition Risks</w:t>
      </w:r>
    </w:p>
    <w:p>
      <w:pPr>
        <w:spacing w:after="80"/>
        <w:ind w:left="360" w:hanging="240"/>
      </w:pPr>
      <w:r>
        <w:rPr>
          <w:rFonts w:ascii="Calibri" w:cs="Calibri" w:eastAsia="Calibri" w:hAnsi="Calibri"/>
          <w:b w:val="false"/>
          <w:bCs w:val="false"/>
          <w:sz w:val="22"/>
          <w:szCs w:val="22"/>
        </w:rPr>
        <w:t>-  Competition: Larger fintech companies may launch competing products.</w:t>
      </w:r>
    </w:p>
    <w:p>
      <w:pPr>
        <w:spacing w:after="80"/>
        <w:ind w:left="360" w:hanging="240"/>
      </w:pPr>
      <w:r>
        <w:rPr>
          <w:rFonts w:ascii="Calibri" w:cs="Calibri" w:eastAsia="Calibri" w:hAnsi="Calibri"/>
          <w:b w:val="false"/>
          <w:bCs w:val="false"/>
          <w:sz w:val="22"/>
          <w:szCs w:val="22"/>
        </w:rPr>
        <w:t>-  Subscriber Churn: Extended strategy underperformance may reduce retention and conversion.</w:t>
      </w:r>
    </w:p>
    <w:p>
      <w:pPr>
        <w:spacing w:after="80"/>
        <w:ind w:left="360" w:hanging="240"/>
      </w:pPr>
      <w:r>
        <w:rPr>
          <w:rFonts w:ascii="Calibri" w:cs="Calibri" w:eastAsia="Calibri" w:hAnsi="Calibri"/>
          <w:b w:val="false"/>
          <w:bCs w:val="false"/>
          <w:sz w:val="22"/>
          <w:szCs w:val="22"/>
        </w:rPr>
        <w:t>-  Currency Risk: AUD-denominated entity with USD revenues creates exchange rate exposure.</w:t>
      </w:r>
    </w:p>
    <w:p>
      <w:r>
        <w:br w:type="page"/>
      </w:r>
    </w:p>
    <w:p>
      <w:pPr>
        <w:pStyle w:val="Heading1"/>
        <w:spacing w:after="120" w:before="240"/>
        <w:outlineLvl w:val="0"/>
      </w:pPr>
      <w:r>
        <w:rPr>
          <w:rFonts w:ascii="Calibri" w:cs="Calibri" w:eastAsia="Calibri" w:hAnsi="Calibri"/>
          <w:b/>
          <w:bCs/>
          <w:color w:val="1a2744"/>
          <w:sz w:val="28"/>
          <w:szCs w:val="28"/>
        </w:rPr>
        <w:t xml:space="preserve">Appendix 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Term</w:t>
            </w:r>
          </w:p>
        </w:tc>
        <w:tc>
          <w:tcPr>
            <w:tcW w:type="dxa" w:w="696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Definition</w:t>
            </w:r>
          </w:p>
        </w:tc>
      </w:tr>
      <w:tr>
        <w:tc>
          <w:tcPr>
            <w:tcW w:type="dxa" w:w="24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Sharpe Ratio</w:t>
            </w:r>
          </w:p>
        </w:tc>
        <w:tc>
          <w:tcPr>
            <w:tcW w:type="dxa" w:w="69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Risk-adjusted return: annual return divided by annual volatility. Above 2.0 is excellent; above 3.0 is exceptional.</w:t>
            </w:r>
          </w:p>
        </w:tc>
      </w:tr>
      <w:tr>
        <w:tc>
          <w:tcPr>
            <w:tcW w:type="dxa" w:w="2400"/>
            <w:tcMar>
              <w:top w:type="dxa" w:w="80"/>
              <w:left w:type="dxa" w:w="120"/>
              <w:bottom w:type="dxa" w:w="80"/>
              <w:right w:type="dxa" w:w="120"/>
            </w:tcMar>
            <w:vAlign w:val="top"/>
          </w:tcPr>
          <w:p>
            <w:r>
              <w:rPr>
                <w:rFonts w:ascii="Calibri" w:cs="Calibri" w:eastAsia="Calibri" w:hAnsi="Calibri"/>
                <w:b w:val="false"/>
                <w:bCs w:val="false"/>
                <w:sz w:val="20"/>
                <w:szCs w:val="20"/>
              </w:rPr>
              <w:t xml:space="preserve">Walk-Forward Validation</w:t>
            </w:r>
          </w:p>
        </w:tc>
        <w:tc>
          <w:tcPr>
            <w:tcW w:type="dxa" w:w="6960"/>
            <w:tcMar>
              <w:top w:type="dxa" w:w="80"/>
              <w:left w:type="dxa" w:w="120"/>
              <w:bottom w:type="dxa" w:w="80"/>
              <w:right w:type="dxa" w:w="120"/>
            </w:tcMar>
            <w:vAlign w:val="top"/>
          </w:tcPr>
          <w:p>
            <w:r>
              <w:rPr>
                <w:rFonts w:ascii="Calibri" w:cs="Calibri" w:eastAsia="Calibri" w:hAnsi="Calibri"/>
                <w:b w:val="false"/>
                <w:bCs w:val="false"/>
                <w:sz w:val="20"/>
                <w:szCs w:val="20"/>
              </w:rPr>
              <w:t xml:space="preserve">Parameters trained on historical data, tested on unseen future data across multiple rolling windows.</w:t>
            </w:r>
          </w:p>
        </w:tc>
      </w:tr>
      <w:tr>
        <w:tc>
          <w:tcPr>
            <w:tcW w:type="dxa" w:w="24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OOS (Out-of-Sample)</w:t>
            </w:r>
          </w:p>
        </w:tc>
        <w:tc>
          <w:tcPr>
            <w:tcW w:type="dxa" w:w="69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Data never seen during training. OOS results are the most reliable indicator of future performance.</w:t>
            </w:r>
          </w:p>
        </w:tc>
      </w:tr>
      <w:tr>
        <w:tc>
          <w:tcPr>
            <w:tcW w:type="dxa" w:w="2400"/>
            <w:tcMar>
              <w:top w:type="dxa" w:w="80"/>
              <w:left w:type="dxa" w:w="120"/>
              <w:bottom w:type="dxa" w:w="80"/>
              <w:right w:type="dxa" w:w="120"/>
            </w:tcMar>
            <w:vAlign w:val="top"/>
          </w:tcPr>
          <w:p>
            <w:r>
              <w:rPr>
                <w:rFonts w:ascii="Calibri" w:cs="Calibri" w:eastAsia="Calibri" w:hAnsi="Calibri"/>
                <w:b w:val="false"/>
                <w:bCs w:val="false"/>
                <w:sz w:val="20"/>
                <w:szCs w:val="20"/>
              </w:rPr>
              <w:t xml:space="preserve">CAGR</w:t>
            </w:r>
          </w:p>
        </w:tc>
        <w:tc>
          <w:tcPr>
            <w:tcW w:type="dxa" w:w="6960"/>
            <w:tcMar>
              <w:top w:type="dxa" w:w="80"/>
              <w:left w:type="dxa" w:w="120"/>
              <w:bottom w:type="dxa" w:w="80"/>
              <w:right w:type="dxa" w:w="120"/>
            </w:tcMar>
            <w:vAlign w:val="top"/>
          </w:tcPr>
          <w:p>
            <w:r>
              <w:rPr>
                <w:rFonts w:ascii="Calibri" w:cs="Calibri" w:eastAsia="Calibri" w:hAnsi="Calibri"/>
                <w:b w:val="false"/>
                <w:bCs w:val="false"/>
                <w:sz w:val="20"/>
                <w:szCs w:val="20"/>
              </w:rPr>
              <w:t xml:space="preserve">Compound Annual Growth Rate  -  annualised return assuming profit reinvestment.</w:t>
            </w:r>
          </w:p>
        </w:tc>
      </w:tr>
      <w:tr>
        <w:tc>
          <w:tcPr>
            <w:tcW w:type="dxa" w:w="24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ATR</w:t>
            </w:r>
          </w:p>
        </w:tc>
        <w:tc>
          <w:tcPr>
            <w:tcW w:type="dxa" w:w="69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Average True Range  -  price volatility measure used to set dynamic stop-loss levels.</w:t>
            </w:r>
          </w:p>
        </w:tc>
      </w:tr>
      <w:tr>
        <w:tc>
          <w:tcPr>
            <w:tcW w:type="dxa" w:w="2400"/>
            <w:tcMar>
              <w:top w:type="dxa" w:w="80"/>
              <w:left w:type="dxa" w:w="120"/>
              <w:bottom w:type="dxa" w:w="80"/>
              <w:right w:type="dxa" w:w="120"/>
            </w:tcMar>
            <w:vAlign w:val="top"/>
          </w:tcPr>
          <w:p>
            <w:r>
              <w:rPr>
                <w:rFonts w:ascii="Calibri" w:cs="Calibri" w:eastAsia="Calibri" w:hAnsi="Calibri"/>
                <w:b w:val="false"/>
                <w:bCs w:val="false"/>
                <w:sz w:val="20"/>
                <w:szCs w:val="20"/>
              </w:rPr>
              <w:t xml:space="preserve">Maximum Drawdown</w:t>
            </w:r>
          </w:p>
        </w:tc>
        <w:tc>
          <w:tcPr>
            <w:tcW w:type="dxa" w:w="6960"/>
            <w:tcMar>
              <w:top w:type="dxa" w:w="80"/>
              <w:left w:type="dxa" w:w="120"/>
              <w:bottom w:type="dxa" w:w="80"/>
              <w:right w:type="dxa" w:w="120"/>
            </w:tcMar>
            <w:vAlign w:val="top"/>
          </w:tcPr>
          <w:p>
            <w:r>
              <w:rPr>
                <w:rFonts w:ascii="Calibri" w:cs="Calibri" w:eastAsia="Calibri" w:hAnsi="Calibri"/>
                <w:b w:val="false"/>
                <w:bCs w:val="false"/>
                <w:sz w:val="20"/>
                <w:szCs w:val="20"/>
              </w:rPr>
              <w:t xml:space="preserve">Peak-to-trough portfolio decline over a given period.</w:t>
            </w:r>
          </w:p>
        </w:tc>
      </w:tr>
      <w:tr>
        <w:tc>
          <w:tcPr>
            <w:tcW w:type="dxa" w:w="24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Overfitting Decay</w:t>
            </w:r>
          </w:p>
        </w:tc>
        <w:tc>
          <w:tcPr>
            <w:tcW w:type="dxa" w:w="69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(IS Sharpe - OOS Sharpe) / IS Sharpe. StockQueen V4: 0.26 (low and acceptable).</w:t>
            </w:r>
          </w:p>
        </w:tc>
      </w:tr>
      <w:tr>
        <w:tc>
          <w:tcPr>
            <w:tcW w:type="dxa" w:w="2400"/>
            <w:tcMar>
              <w:top w:type="dxa" w:w="80"/>
              <w:left w:type="dxa" w:w="120"/>
              <w:bottom w:type="dxa" w:w="80"/>
              <w:right w:type="dxa" w:w="120"/>
            </w:tcMar>
            <w:vAlign w:val="top"/>
          </w:tcPr>
          <w:p>
            <w:r>
              <w:rPr>
                <w:rFonts w:ascii="Calibri" w:cs="Calibri" w:eastAsia="Calibri" w:hAnsi="Calibri"/>
                <w:b w:val="false"/>
                <w:bCs w:val="false"/>
                <w:sz w:val="20"/>
                <w:szCs w:val="20"/>
              </w:rPr>
              <w:t xml:space="preserve">Regime</w:t>
            </w:r>
          </w:p>
        </w:tc>
        <w:tc>
          <w:tcPr>
            <w:tcW w:type="dxa" w:w="6960"/>
            <w:tcMar>
              <w:top w:type="dxa" w:w="80"/>
              <w:left w:type="dxa" w:w="120"/>
              <w:bottom w:type="dxa" w:w="80"/>
              <w:right w:type="dxa" w:w="120"/>
            </w:tcMar>
            <w:vAlign w:val="top"/>
          </w:tcPr>
          <w:p>
            <w:r>
              <w:rPr>
                <w:rFonts w:ascii="Calibri" w:cs="Calibri" w:eastAsia="Calibri" w:hAnsi="Calibri"/>
                <w:b w:val="false"/>
                <w:bCs w:val="false"/>
                <w:sz w:val="20"/>
                <w:szCs w:val="20"/>
              </w:rPr>
              <w:t xml:space="preserve">Market condition: Strong Bull / Bull / Choppy / Bear  -  drives strategy allocation.</w:t>
            </w:r>
          </w:p>
        </w:tc>
      </w:tr>
      <w:tr>
        <w:tc>
          <w:tcPr>
            <w:tcW w:type="dxa" w:w="24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Paper Trading</w:t>
            </w:r>
          </w:p>
        </w:tc>
        <w:tc>
          <w:tcPr>
            <w:tcW w:type="dxa" w:w="69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Live simulation with real prices but no real capital.</w:t>
            </w:r>
          </w:p>
        </w:tc>
      </w:tr>
      <w:tr>
        <w:tc>
          <w:tcPr>
            <w:tcW w:type="dxa" w:w="2400"/>
            <w:tcMar>
              <w:top w:type="dxa" w:w="80"/>
              <w:left w:type="dxa" w:w="120"/>
              <w:bottom w:type="dxa" w:w="80"/>
              <w:right w:type="dxa" w:w="120"/>
            </w:tcMar>
            <w:vAlign w:val="top"/>
          </w:tcPr>
          <w:p>
            <w:r>
              <w:rPr>
                <w:rFonts w:ascii="Calibri" w:cs="Calibri" w:eastAsia="Calibri" w:hAnsi="Calibri"/>
                <w:b w:val="false"/>
                <w:bCs w:val="false"/>
                <w:sz w:val="20"/>
                <w:szCs w:val="20"/>
              </w:rPr>
              <w:t xml:space="preserve">AFSL</w:t>
            </w:r>
          </w:p>
        </w:tc>
        <w:tc>
          <w:tcPr>
            <w:tcW w:type="dxa" w:w="6960"/>
            <w:tcMar>
              <w:top w:type="dxa" w:w="80"/>
              <w:left w:type="dxa" w:w="120"/>
              <w:bottom w:type="dxa" w:w="80"/>
              <w:right w:type="dxa" w:w="120"/>
            </w:tcMar>
            <w:vAlign w:val="top"/>
          </w:tcPr>
          <w:p>
            <w:r>
              <w:rPr>
                <w:rFonts w:ascii="Calibri" w:cs="Calibri" w:eastAsia="Calibri" w:hAnsi="Calibri"/>
                <w:b w:val="false"/>
                <w:bCs w:val="false"/>
                <w:sz w:val="20"/>
                <w:szCs w:val="20"/>
              </w:rPr>
              <w:t xml:space="preserve">Australian Financial Services Licence.</w:t>
            </w:r>
          </w:p>
        </w:tc>
      </w:tr>
      <w:tr>
        <w:tc>
          <w:tcPr>
            <w:tcW w:type="dxa" w:w="24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ESOP</w:t>
            </w:r>
          </w:p>
        </w:tc>
        <w:tc>
          <w:tcPr>
            <w:tcW w:type="dxa" w:w="69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Employee Share Option Plan.</w:t>
            </w:r>
          </w:p>
        </w:tc>
      </w:tr>
    </w:tbl>
    <w:p>
      <w:r>
        <w:br w:type="page"/>
      </w:r>
    </w:p>
    <w:p>
      <w:pPr>
        <w:pStyle w:val="Heading1"/>
        <w:spacing w:after="120" w:before="240"/>
        <w:outlineLvl w:val="0"/>
      </w:pPr>
      <w:r>
        <w:rPr>
          <w:rFonts w:ascii="Calibri" w:cs="Calibri" w:eastAsia="Calibri" w:hAnsi="Calibri"/>
          <w:b/>
          <w:bCs/>
          <w:color w:val="1a2744"/>
          <w:sz w:val="28"/>
          <w:szCs w:val="28"/>
        </w:rPr>
        <w:t xml:space="preserve">Appendix B: Contact</w:t>
      </w:r>
    </w:p>
    <w:p>
      <w:pPr>
        <w:spacing w:after="120" w:before="0"/>
        <w:jc w:val="left"/>
      </w:pPr>
      <w:r>
        <w:rPr>
          <w:rFonts w:ascii="Calibri" w:cs="Calibri" w:eastAsia="Calibri" w:hAnsi="Calibri"/>
          <w:b/>
          <w:bCs/>
          <w:sz w:val="22"/>
          <w:szCs w:val="22"/>
        </w:rPr>
        <w:t xml:space="preserve">Pengyu Deng  -  Co-Founder and CEO, Stockqueen Technology Pty Ltd</w:t>
      </w:r>
    </w:p>
    <w:p>
      <w:pPr>
        <w:spacing w:after="120" w:before="0"/>
        <w:jc w:val="left"/>
      </w:pPr>
      <w:r>
        <w:rPr>
          <w:rFonts w:ascii="Calibri" w:cs="Calibri" w:eastAsia="Calibri" w:hAnsi="Calibri"/>
          <w:b w:val="false"/>
          <w:bCs w:val="false"/>
          <w:sz w:val="22"/>
          <w:szCs w:val="22"/>
        </w:rPr>
        <w:t xml:space="preserve">Website: stockqueen.tech</w:t>
      </w:r>
    </w:p>
    <w:p>
      <w:pPr>
        <w:spacing w:after="120" w:before="0"/>
        <w:jc w:val="left"/>
      </w:pPr>
      <w:r>
        <w:rPr>
          <w:rFonts w:ascii="Calibri" w:cs="Calibri" w:eastAsia="Calibri" w:hAnsi="Calibri"/>
          <w:b w:val="false"/>
          <w:bCs w:val="false"/>
          <w:sz w:val="22"/>
          <w:szCs w:val="22"/>
        </w:rPr>
        <w:t xml:space="preserve">This Information Memorandum was prepared in March 2026. All information is current as of that date.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PRIVATE &amp; CONFIDENTIAL   -   Stockqueen Technology Pty Ltd   -   March 2026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outlineLvl w:val="0"/>
    </w:pPr>
    <w:rPr>
      <w:rFonts w:ascii="Calibri" w:cs="Calibri" w:eastAsia="Calibri" w:hAnsi="Calibri"/>
      <w:b/>
      <w:bCs/>
      <w:color w:val="1a2744"/>
      <w:sz w:val="28"/>
      <w:szCs w:val="28"/>
    </w:rPr>
  </w:style>
  <w:style w:type="paragraph" w:styleId="Heading2">
    <w:name w:val="Heading 2"/>
    <w:basedOn w:val="Normal"/>
    <w:next w:val="Normal"/>
    <w:pPr>
      <w:spacing w:after="100" w:before="200"/>
      <w:outlineLvl w:val="1"/>
    </w:pPr>
    <w:rPr>
      <w:rFonts w:ascii="Calibri" w:cs="Calibri" w:eastAsia="Calibri" w:hAnsi="Calibri"/>
      <w:b/>
      <w:bCs/>
      <w:color w:val="1a27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2026-03-21T06:44:09.654Z</dcterms:created>
  <dcterms:modified xsi:type="dcterms:W3CDTF">2026-03-21T06:44:09.654Z</dcterms:modified>
</cp:coreProperties>
</file>

<file path=docProps/custom.xml><?xml version="1.0" encoding="utf-8"?>
<Properties xmlns="http://schemas.openxmlformats.org/officeDocument/2006/custom-properties" xmlns:vt="http://schemas.openxmlformats.org/officeDocument/2006/docPropsVTypes"/>
</file>