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200" w:before="0"/>
        <w:jc w:val="center"/>
      </w:pPr>
      <w:r>
        <w:rPr>
          <w:rFonts w:ascii="Calibri" w:cs="Calibri" w:eastAsia="Calibri" w:hAnsi="Calibri"/>
          <w:b/>
          <w:bCs/>
          <w:color w:val="1a2744"/>
          <w:sz w:val="52"/>
          <w:szCs w:val="52"/>
        </w:rPr>
        <w:t xml:space="preserve">QUANTITATIVE STRATEGY DATA PACK</w:t>
      </w:r>
    </w:p>
    <w:p>
      <w:pPr>
        <w:spacing w:after="600" w:before="0"/>
        <w:jc w:val="center"/>
      </w:pPr>
      <w:r>
        <w:rPr>
          <w:rFonts w:ascii="Calibri" w:cs="Calibri" w:eastAsia="Calibri" w:hAnsi="Calibri"/>
          <w:i/>
          <w:iCs/>
          <w:color w:val="2C4A8C"/>
          <w:sz w:val="32"/>
          <w:szCs w:val="32"/>
        </w:rPr>
        <w:t xml:space="preserve">Technical Performance Validation &amp; Model Methodology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744" w:val="clear"/>
            <w:tcMar>
              <w:top w:type="dxa" w:w="200"/>
              <w:left w:type="dxa" w:w="400"/>
              <w:bottom w:type="dxa" w:w="200"/>
              <w:right w:type="dxa" w:w="400"/>
            </w:tcMar>
          </w:tcPr>
          <w:p>
            <w:pPr>
              <w:spacing w:after="80" w:before="120"/>
              <w:jc w:val="center"/>
            </w:pPr>
            <w:r>
              <w:rPr>
                <w:rFonts w:ascii="Calibri" w:cs="Calibri" w:eastAsia="Calibri" w:hAnsi="Calibri"/>
                <w:b/>
                <w:bCs/>
                <w:color w:val="FFFFFF"/>
                <w:sz w:val="28"/>
                <w:szCs w:val="28"/>
              </w:rPr>
              <w:t xml:space="preserve">Stockqueen Technology Pty Ltd</w:t>
            </w:r>
          </w:p>
          <w:p>
            <w:pPr>
              <w:spacing w:after="120" w:before="0"/>
              <w:jc w:val="center"/>
            </w:pPr>
            <w:r>
              <w:rPr>
                <w:rFonts w:ascii="Calibri" w:cs="Calibri" w:eastAsia="Calibri" w:hAnsi="Calibri"/>
                <w:color w:val="A8C8E8"/>
                <w:sz w:val="22"/>
                <w:szCs w:val="22"/>
              </w:rPr>
              <w:t xml:space="preserve">stockqueen.tech</w:t>
            </w:r>
          </w:p>
        </w:tc>
      </w:tr>
    </w:tbl>
    <w:p>
      <w:pPr>
        <w:spacing w:after="600" w:before="0"/>
      </w:pPr>
    </w:p>
    <w:p>
      <w:pPr>
        <w:spacing w:after="200" w:before="0"/>
        <w:jc w:val="center"/>
      </w:pPr>
      <w:r>
        <w:rPr>
          <w:rFonts w:ascii="Calibri" w:cs="Calibri" w:eastAsia="Calibri" w:hAnsi="Calibri"/>
          <w:color w:val="333333"/>
          <w:sz w:val="26"/>
          <w:szCs w:val="26"/>
        </w:rPr>
        <w:t xml:space="preserve">March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8"/>
              <w:left w:val="single" w:color="8B0000" w:sz="8"/>
              <w:bottom w:val="single" w:color="8B0000" w:sz="8"/>
              <w:right w:val="single" w:color="8B0000" w:sz="8"/>
            </w:tcBorders>
            <w:shd w:fill="FFF3F3" w:val="clear"/>
            <w:tcMar>
              <w:top w:type="dxa" w:w="120"/>
              <w:left w:type="dxa" w:w="300"/>
              <w:bottom w:type="dxa" w:w="120"/>
              <w:right w:type="dxa" w:w="300"/>
            </w:tcMar>
          </w:tcPr>
          <w:p>
            <w:pPr>
              <w:spacing w:after="120" w:before="120"/>
              <w:jc w:val="center"/>
            </w:pPr>
            <w:r>
              <w:rPr>
                <w:rFonts w:ascii="Calibri" w:cs="Calibri" w:eastAsia="Calibri" w:hAnsi="Calibri"/>
                <w:b/>
                <w:bCs/>
                <w:color w:val="8B0000"/>
                <w:sz w:val="20"/>
                <w:szCs w:val="20"/>
              </w:rPr>
              <w:t xml:space="preserve">PRIVATE &amp; CONFIDENTIAL — FOR INVESTOR USE ONLY</w:t>
            </w:r>
          </w:p>
        </w:tc>
      </w:tr>
    </w:tbl>
    <w:p>
      <w:r>
        <w:br w:type="page"/>
      </w:r>
    </w:p>
    <w:p>
      <w:pPr>
        <w:sectPr>
          <w:footerReference w:type="default" r:id="rId7"/>
          <w:pgSz w:w="12240" w:h="15840" w:orient="portrait"/>
          <w:pgMar w:top="1080" w:right="1080" w:bottom="1080" w:left="1080" w:header="708" w:footer="708" w:gutter="0"/>
          <w:pgNumType/>
          <w:docGrid w:linePitch="360"/>
        </w:sectP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12"/>
              <w:left w:val="single" w:color="8B0000" w:sz="12"/>
              <w:bottom w:val="single" w:color="8B0000" w:sz="12"/>
              <w:right w:val="single" w:color="8B0000" w:sz="12"/>
            </w:tcBorders>
            <w:shd w:fill="FFF3F3" w:val="clear"/>
            <w:tcMar>
              <w:top w:type="dxa" w:w="160"/>
              <w:left w:type="dxa" w:w="240"/>
              <w:bottom w:type="dxa" w:w="160"/>
              <w:right w:type="dxa" w:w="240"/>
            </w:tcMar>
          </w:tcPr>
          <w:p>
            <w:pPr>
              <w:spacing w:after="80" w:before="60"/>
            </w:pPr>
            <w:r>
              <w:rPr>
                <w:b/>
                <w:bCs/>
                <w:color w:val="8B0000"/>
                <w:sz w:val="20"/>
                <w:szCs w:val="20"/>
              </w:rPr>
              <w:t xml:space="preserve">IMPORTANT DISCLAIMER</w:t>
            </w:r>
          </w:p>
          <w:p>
            <w:pPr>
              <w:spacing w:after="60" w:before="0"/>
            </w:pPr>
            <w:r>
              <w:rPr>
                <w:i/>
                <w:iCs/>
                <w:color w:val="8B0000"/>
                <w:sz w:val="18"/>
                <w:szCs w:val="18"/>
              </w:rPr>
              <w:t xml:space="preserve">The performance figures in this document are based entirely on walk-forward out-of-sample backtesting and paper trading simulation. They do not represent actual live trading returns. Past performance and simulated results are not indicative of future results. This document is intended for informational purposes for prospective investors only.</w:t>
            </w:r>
          </w:p>
        </w:tc>
      </w:tr>
    </w:tbl>
    <w:p>
      <w:pPr>
        <w:spacing w:after="200" w:before="0"/>
      </w:pPr>
    </w:p>
    <w:p>
      <w:pPr>
        <w:pStyle w:val="Heading1"/>
        <w:shd w:fill="1a2744" w:val="clear"/>
        <w:spacing w:after="160" w:before="280"/>
      </w:pPr>
      <w:r>
        <w:rPr>
          <w:b/>
          <w:bCs/>
          <w:color w:val="FFFFFF"/>
          <w:sz w:val="32"/>
          <w:szCs w:val="32"/>
        </w:rPr>
        <w:t xml:space="preserve">SECTION 1: EXECUTIVE PERFORMANCE SUMMARY</w:t>
      </w:r>
    </w:p>
    <w:p>
      <w:pPr>
        <w:spacing w:after="80" w:before="0"/>
      </w:pPr>
    </w:p>
    <w:p>
      <w:pPr>
        <w:pStyle w:val="Heading2"/>
        <w:pBdr>
          <w:bottom w:val="single" w:color="2C4A8C" w:sz="6"/>
        </w:pBdr>
        <w:spacing w:after="100" w:before="200"/>
      </w:pPr>
      <w:r>
        <w:rPr>
          <w:b/>
          <w:bCs/>
          <w:color w:val="1a2744"/>
          <w:sz w:val="24"/>
          <w:szCs w:val="24"/>
        </w:rPr>
        <w:t xml:space="preserve">1.1  Key Metrics at a Glance</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4200"/>
        <w:gridCol w:w="3000"/>
        <w:gridCol w:w="2880"/>
      </w:tblGrid>
      <w:tr>
        <w:trPr>
          <w:tblHeader/>
        </w:trPr>
        <w:tc>
          <w:tcPr>
            <w:tcW w:type="dxa" w:w="4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Metric</w:t>
            </w:r>
          </w:p>
        </w:tc>
        <w:tc>
          <w:tcPr>
            <w:tcW w:type="dxa" w:w="3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Value</w:t>
            </w:r>
          </w:p>
        </w:tc>
        <w:tc>
          <w:tcPr>
            <w:tcW w:type="dxa" w:w="28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Benchmark (S&amp;P 500)</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Average OOS Sharpe Ratio (V4 Core)</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1.70</w:t>
            </w:r>
          </w:p>
        </w:tc>
        <w:tc>
          <w:tcPr>
            <w:tcW w:type="dxa" w:w="2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~0.8</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Total OOS CAGR</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~60%</w:t>
            </w:r>
          </w:p>
        </w:tc>
        <w:tc>
          <w:tcPr>
            <w:tcW w:type="dxa" w:w="2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~15%</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Maximum Drawdown</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-19.1%</w:t>
            </w:r>
          </w:p>
        </w:tc>
        <w:tc>
          <w:tcPr>
            <w:tcW w:type="dxa" w:w="2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-34% (2022)</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Total OOS Return (5.5 years)</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447%</w:t>
            </w:r>
          </w:p>
        </w:tc>
        <w:tc>
          <w:tcPr>
            <w:tcW w:type="dxa" w:w="2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~95%</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Profitable OOS Windows</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5/5 (100%)</w:t>
            </w:r>
          </w:p>
        </w:tc>
        <w:tc>
          <w:tcPr>
            <w:tcW w:type="dxa" w:w="2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N/A</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Overfitting Decay Score</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0.23 (Low)</w:t>
            </w:r>
          </w:p>
        </w:tc>
        <w:tc>
          <w:tcPr>
            <w:tcW w:type="dxa" w:w="2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N/A</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Parameter Stability</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High (ATR locked pre-search)</w:t>
            </w:r>
          </w:p>
        </w:tc>
        <w:tc>
          <w:tcPr>
            <w:tcW w:type="dxa" w:w="2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N/A</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 Paper Trading</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Active since March 2026</w:t>
            </w:r>
          </w:p>
        </w:tc>
        <w:tc>
          <w:tcPr>
            <w:tcW w:type="dxa" w:w="2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N/A</w:t>
            </w:r>
          </w:p>
        </w:tc>
      </w:tr>
    </w:tbl>
    <w:p>
      <w:pPr>
        <w:spacing w:after="120" w:before="0"/>
      </w:pPr>
    </w:p>
    <w:p>
      <w:pPr>
        <w:pStyle w:val="Heading2"/>
        <w:pBdr>
          <w:bottom w:val="single" w:color="2C4A8C" w:sz="6"/>
        </w:pBdr>
        <w:spacing w:after="100" w:before="200"/>
      </w:pPr>
      <w:r>
        <w:rPr>
          <w:b/>
          <w:bCs/>
          <w:color w:val="1a2744"/>
          <w:sz w:val="24"/>
          <w:szCs w:val="24"/>
        </w:rPr>
        <w:t xml:space="preserve">1.2  What Makes This Credible</w:t>
      </w:r>
    </w:p>
    <w:p>
      <w:pPr>
        <w:spacing w:after="60" w:before="60"/>
        <w:jc w:val="left"/>
      </w:pPr>
      <w:r>
        <w:rPr>
          <w:b w:val="false"/>
          <w:bCs w:val="false"/>
          <w:i w:val="false"/>
          <w:iCs w:val="false"/>
          <w:color w:val="333333"/>
          <w:sz w:val="20"/>
          <w:szCs w:val="20"/>
        </w:rPr>
        <w:t xml:space="preserve">Three independent pillars of validation underpin these results:</w:t>
      </w:r>
    </w:p>
    <w:p>
      <w:pPr>
        <w:spacing w:after="40" w:before="0"/>
      </w:pPr>
    </w:p>
    <w:p>
      <w:pPr>
        <w:spacing w:after="60" w:before="60"/>
        <w:ind w:left="360"/>
      </w:pPr>
      <w:r>
        <w:rPr>
          <w:b/>
          <w:bCs/>
          <w:color w:val="1a2744"/>
          <w:sz w:val="20"/>
          <w:szCs w:val="20"/>
        </w:rPr>
        <w:t xml:space="preserve">1. </w:t>
      </w:r>
      <w:r>
        <w:rPr>
          <w:color w:val="333333"/>
          <w:sz w:val="20"/>
          <w:szCs w:val="20"/>
        </w:rPr>
        <w:t xml:space="preserve">Walk-Forward Out-of-Sample Testing (5 windows, 5.5 years) — not simple backtesting</w:t>
      </w:r>
    </w:p>
    <w:p>
      <w:pPr>
        <w:spacing w:after="60" w:before="60"/>
        <w:ind w:left="360"/>
      </w:pPr>
      <w:r>
        <w:rPr>
          <w:b/>
          <w:bCs/>
          <w:color w:val="1a2744"/>
          <w:sz w:val="20"/>
          <w:szCs w:val="20"/>
        </w:rPr>
        <w:t xml:space="preserve">2. </w:t>
      </w:r>
      <w:r>
        <w:rPr>
          <w:color w:val="333333"/>
          <w:sz w:val="20"/>
          <w:szCs w:val="20"/>
        </w:rPr>
        <w:t xml:space="preserve">Parameter Stability Analysis — key parameters validated for robustness, not curve-fitting</w:t>
      </w:r>
    </w:p>
    <w:p>
      <w:pPr>
        <w:spacing w:after="60" w:before="60"/>
        <w:ind w:left="360"/>
      </w:pPr>
      <w:r>
        <w:rPr>
          <w:b/>
          <w:bCs/>
          <w:color w:val="1a2744"/>
          <w:sz w:val="20"/>
          <w:szCs w:val="20"/>
        </w:rPr>
        <w:t xml:space="preserve">3. </w:t>
      </w:r>
      <w:r>
        <w:rPr>
          <w:color w:val="333333"/>
          <w:sz w:val="20"/>
          <w:szCs w:val="20"/>
        </w:rPr>
        <w:t xml:space="preserve">Multi-Market-Environment Testing — validated through COVID (2020), FOMO Bull (2021), Fed Bear (2022), AI Recovery (2023), AI Bull (2024)</w:t>
      </w:r>
    </w:p>
    <w:p>
      <w:pPr>
        <w:spacing w:after="80" w:before="0"/>
      </w:pPr>
    </w:p>
    <w:p>
      <w:r>
        <w:br w:type="page"/>
      </w:r>
    </w:p>
    <w:p>
      <w:pPr>
        <w:pStyle w:val="Heading1"/>
        <w:shd w:fill="1a2744" w:val="clear"/>
        <w:spacing w:after="160" w:before="280"/>
      </w:pPr>
      <w:r>
        <w:rPr>
          <w:b/>
          <w:bCs/>
          <w:color w:val="FFFFFF"/>
          <w:sz w:val="32"/>
          <w:szCs w:val="32"/>
        </w:rPr>
        <w:t xml:space="preserve">SECTION 2: METHODOLOGY — WALK-FORWARD VALIDATION</w:t>
      </w:r>
    </w:p>
    <w:p>
      <w:pPr>
        <w:spacing w:after="80" w:before="0"/>
      </w:pPr>
    </w:p>
    <w:p>
      <w:pPr>
        <w:pStyle w:val="Heading2"/>
        <w:pBdr>
          <w:bottom w:val="single" w:color="2C4A8C" w:sz="6"/>
        </w:pBdr>
        <w:spacing w:after="100" w:before="200"/>
      </w:pPr>
      <w:r>
        <w:rPr>
          <w:b/>
          <w:bCs/>
          <w:color w:val="1a2744"/>
          <w:sz w:val="24"/>
          <w:szCs w:val="24"/>
        </w:rPr>
        <w:t xml:space="preserve">2.1  Why Walk-Forward?</w:t>
      </w:r>
    </w:p>
    <w:p>
      <w:pPr>
        <w:spacing w:after="60" w:before="60"/>
        <w:jc w:val="left"/>
      </w:pPr>
      <w:r>
        <w:rPr>
          <w:b w:val="false"/>
          <w:bCs w:val="false"/>
          <w:i w:val="false"/>
          <w:iCs w:val="false"/>
          <w:color w:val="333333"/>
          <w:sz w:val="20"/>
          <w:szCs w:val="20"/>
        </w:rPr>
        <w:t xml:space="preserve">Simple backtesting is unreliable for real trading because:</w:t>
      </w:r>
    </w:p>
    <w:p>
      <w:pPr>
        <w:pStyle w:val="ListParagraph"/>
        <w:numPr>
          <w:ilvl w:val="0"/>
          <w:numId w:val="2"/>
        </w:numPr>
        <w:spacing w:after="40" w:before="40"/>
      </w:pPr>
      <w:r>
        <w:rPr>
          <w:b w:val="false"/>
          <w:bCs w:val="false"/>
          <w:color w:val="333333"/>
          <w:sz w:val="20"/>
          <w:szCs w:val="20"/>
        </w:rPr>
        <w:t xml:space="preserve">Parameters are optimised on the same data they are tested on (data snooping)</w:t>
      </w:r>
    </w:p>
    <w:p>
      <w:pPr>
        <w:pStyle w:val="ListParagraph"/>
        <w:numPr>
          <w:ilvl w:val="0"/>
          <w:numId w:val="2"/>
        </w:numPr>
        <w:spacing w:after="40" w:before="40"/>
      </w:pPr>
      <w:r>
        <w:rPr>
          <w:b w:val="false"/>
          <w:bCs w:val="false"/>
          <w:color w:val="333333"/>
          <w:sz w:val="20"/>
          <w:szCs w:val="20"/>
        </w:rPr>
        <w:t xml:space="preserve">The strategy 'sees the future' during its own evaluation</w:t>
      </w:r>
    </w:p>
    <w:p>
      <w:pPr>
        <w:pStyle w:val="ListParagraph"/>
        <w:numPr>
          <w:ilvl w:val="0"/>
          <w:numId w:val="2"/>
        </w:numPr>
        <w:spacing w:after="40" w:before="40"/>
      </w:pPr>
      <w:r>
        <w:rPr>
          <w:b w:val="false"/>
          <w:bCs w:val="false"/>
          <w:color w:val="333333"/>
          <w:sz w:val="20"/>
          <w:szCs w:val="20"/>
        </w:rPr>
        <w:t xml:space="preserve">This leads to overfitting: excellent backtests, poor live performance</w:t>
      </w:r>
    </w:p>
    <w:p>
      <w:pPr>
        <w:spacing w:after="80" w:before="0"/>
      </w:pPr>
    </w:p>
    <w:p>
      <w:pPr>
        <w:spacing w:after="60" w:before="60"/>
        <w:jc w:val="left"/>
      </w:pPr>
      <w:r>
        <w:rPr>
          <w:b/>
          <w:bCs/>
          <w:i w:val="false"/>
          <w:iCs w:val="false"/>
          <w:color w:val="333333"/>
          <w:sz w:val="20"/>
          <w:szCs w:val="20"/>
        </w:rPr>
        <w:t xml:space="preserve">Walk-Forward Validation solves this:</w:t>
      </w:r>
    </w:p>
    <w:p>
      <w:pPr>
        <w:pStyle w:val="ListParagraph"/>
        <w:numPr>
          <w:ilvl w:val="0"/>
          <w:numId w:val="2"/>
        </w:numPr>
        <w:spacing w:after="40" w:before="40"/>
      </w:pPr>
      <w:r>
        <w:rPr>
          <w:b w:val="false"/>
          <w:bCs w:val="false"/>
          <w:color w:val="333333"/>
          <w:sz w:val="20"/>
          <w:szCs w:val="20"/>
        </w:rPr>
        <w:t xml:space="preserve">Parameters are trained on historical data (training window)</w:t>
      </w:r>
    </w:p>
    <w:p>
      <w:pPr>
        <w:pStyle w:val="ListParagraph"/>
        <w:numPr>
          <w:ilvl w:val="0"/>
          <w:numId w:val="2"/>
        </w:numPr>
        <w:spacing w:after="40" w:before="40"/>
      </w:pPr>
      <w:r>
        <w:rPr>
          <w:b w:val="false"/>
          <w:bCs w:val="false"/>
          <w:color w:val="333333"/>
          <w:sz w:val="20"/>
          <w:szCs w:val="20"/>
        </w:rPr>
        <w:t xml:space="preserve">Strategy is then tested on completely unseen future data (test window)</w:t>
      </w:r>
    </w:p>
    <w:p>
      <w:pPr>
        <w:pStyle w:val="ListParagraph"/>
        <w:numPr>
          <w:ilvl w:val="0"/>
          <w:numId w:val="2"/>
        </w:numPr>
        <w:spacing w:after="40" w:before="40"/>
      </w:pPr>
      <w:r>
        <w:rPr>
          <w:b w:val="false"/>
          <w:bCs w:val="false"/>
          <w:color w:val="333333"/>
          <w:sz w:val="20"/>
          <w:szCs w:val="20"/>
        </w:rPr>
        <w:t xml:space="preserve">This process repeats across multiple windows, rolling forward through time</w:t>
      </w:r>
    </w:p>
    <w:p>
      <w:pPr>
        <w:pStyle w:val="ListParagraph"/>
        <w:numPr>
          <w:ilvl w:val="0"/>
          <w:numId w:val="2"/>
        </w:numPr>
        <w:spacing w:after="40" w:before="40"/>
      </w:pPr>
      <w:r>
        <w:rPr>
          <w:b w:val="false"/>
          <w:bCs w:val="false"/>
          <w:color w:val="333333"/>
          <w:sz w:val="20"/>
          <w:szCs w:val="20"/>
        </w:rPr>
        <w:t xml:space="preserve">Only the out-of-sample (OOS) results are reported as performance</w:t>
      </w:r>
    </w:p>
    <w:p>
      <w:pPr>
        <w:spacing w:after="80" w:before="0"/>
      </w:pPr>
    </w:p>
    <w:p>
      <w:pPr>
        <w:spacing w:after="60" w:before="60"/>
        <w:jc w:val="left"/>
      </w:pPr>
      <w:r>
        <w:rPr>
          <w:b w:val="false"/>
          <w:bCs w:val="false"/>
          <w:i/>
          <w:iCs/>
          <w:color w:val="2C4A8C"/>
          <w:sz w:val="20"/>
          <w:szCs w:val="20"/>
        </w:rPr>
        <w:t xml:space="preserve">This is the same methodology used by institutional hedge funds for strategy validation.</w:t>
      </w:r>
    </w:p>
    <w:p>
      <w:pPr>
        <w:spacing w:after="120" w:before="0"/>
      </w:pPr>
    </w:p>
    <w:p>
      <w:pPr>
        <w:pStyle w:val="Heading2"/>
        <w:pBdr>
          <w:bottom w:val="single" w:color="2C4A8C" w:sz="6"/>
        </w:pBdr>
        <w:spacing w:after="100" w:before="200"/>
      </w:pPr>
      <w:r>
        <w:rPr>
          <w:b/>
          <w:bCs/>
          <w:color w:val="1a2744"/>
          <w:sz w:val="24"/>
          <w:szCs w:val="24"/>
        </w:rPr>
        <w:t xml:space="preserve">2.2  StockQueen Walk-Forward Design</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4200"/>
        <w:gridCol w:w="5880"/>
      </w:tblGrid>
      <w:tr>
        <w:trPr>
          <w:tblHeader/>
        </w:trPr>
        <w:tc>
          <w:tcPr>
            <w:tcW w:type="dxa" w:w="4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Parameter</w:t>
            </w:r>
          </w:p>
        </w:tc>
        <w:tc>
          <w:tcPr>
            <w:tcW w:type="dxa" w:w="58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Value</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Methodology</w:t>
            </w:r>
          </w:p>
        </w:tc>
        <w:tc>
          <w:tcPr>
            <w:tcW w:type="dxa" w:w="5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Expanding Walk-Forward (training window grows each iteration)</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Number of Windows</w:t>
            </w:r>
          </w:p>
        </w:tc>
        <w:tc>
          <w:tcPr>
            <w:tcW w:type="dxa" w:w="5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5 windows</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Training Horizon</w:t>
            </w:r>
          </w:p>
        </w:tc>
        <w:tc>
          <w:tcPr>
            <w:tcW w:type="dxa" w:w="5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Growing from 2 years (W1) to 6 years (W5)</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Test Window</w:t>
            </w:r>
          </w:p>
        </w:tc>
        <w:tc>
          <w:tcPr>
            <w:tcW w:type="dxa" w:w="5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 year per window</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Total OOS Coverage</w:t>
            </w:r>
          </w:p>
        </w:tc>
        <w:tc>
          <w:tcPr>
            <w:tcW w:type="dxa" w:w="5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2020 to 2026 (5.5 years)</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Parameter Search</w:t>
            </w:r>
          </w:p>
        </w:tc>
        <w:tc>
          <w:tcPr>
            <w:tcW w:type="dxa" w:w="5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Grid search over TOP_N and factor weights</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Optimization Metric</w:t>
            </w:r>
          </w:p>
        </w:tc>
        <w:tc>
          <w:tcPr>
            <w:tcW w:type="dxa" w:w="5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Sharpe Ratio (in-sample only)</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Slippage</w:t>
            </w:r>
          </w:p>
        </w:tc>
        <w:tc>
          <w:tcPr>
            <w:tcW w:type="dxa" w:w="5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0.1% per side (0.2% round-trip)</w:t>
            </w:r>
          </w:p>
        </w:tc>
      </w:tr>
      <w:tr>
        <w:tc>
          <w:tcPr>
            <w:tcW w:type="dxa" w:w="4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Entry Price</w:t>
            </w:r>
          </w:p>
        </w:tc>
        <w:tc>
          <w:tcPr>
            <w:tcW w:type="dxa" w:w="5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Next-day open (no look-ahead bias)</w:t>
            </w:r>
          </w:p>
        </w:tc>
      </w:tr>
      <w:tr>
        <w:tc>
          <w:tcPr>
            <w:tcW w:type="dxa" w:w="4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Liquidity Filter</w:t>
            </w:r>
          </w:p>
        </w:tc>
        <w:tc>
          <w:tcPr>
            <w:tcW w:type="dxa" w:w="5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Minimum 500,000 average daily volume</w:t>
            </w:r>
          </w:p>
        </w:tc>
      </w:tr>
    </w:tbl>
    <w:p>
      <w:pPr>
        <w:spacing w:after="120" w:before="0"/>
      </w:pPr>
    </w:p>
    <w:p>
      <w:pPr>
        <w:pStyle w:val="Heading2"/>
        <w:pBdr>
          <w:bottom w:val="single" w:color="2C4A8C" w:sz="6"/>
        </w:pBdr>
        <w:spacing w:after="100" w:before="200"/>
      </w:pPr>
      <w:r>
        <w:rPr>
          <w:b/>
          <w:bCs/>
          <w:color w:val="1a2744"/>
          <w:sz w:val="24"/>
          <w:szCs w:val="24"/>
        </w:rPr>
        <w:t xml:space="preserve">2.3  Overfitting Decay Formula</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4A8C" w:sz="6"/>
              <w:left w:val="single" w:color="2C4A8C" w:sz="6"/>
              <w:bottom w:val="single" w:color="2C4A8C" w:sz="6"/>
              <w:right w:val="single" w:color="2C4A8C" w:sz="6"/>
            </w:tcBorders>
            <w:shd w:fill="EDF3F8" w:val="clear"/>
            <w:tcMar>
              <w:top w:type="dxa" w:w="80"/>
              <w:left w:type="dxa" w:w="120"/>
              <w:bottom w:type="dxa" w:w="80"/>
              <w:right w:type="dxa" w:w="120"/>
            </w:tcMar>
          </w:tcPr>
          <w:p>
            <w:pPr>
              <w:spacing w:after="80" w:before="80"/>
              <w:jc w:val="center"/>
            </w:pPr>
            <w:r>
              <w:rPr>
                <w:rFonts w:ascii="Courier New" w:cs="Courier New" w:eastAsia="Courier New" w:hAnsi="Courier New"/>
                <w:b/>
                <w:bCs/>
                <w:color w:val="1a2744"/>
                <w:sz w:val="22"/>
                <w:szCs w:val="22"/>
              </w:rPr>
              <w:t xml:space="preserve">Decay = (IS Sharpe - OOS Sharpe) / IS Sharpe</w:t>
            </w:r>
          </w:p>
        </w:tc>
      </w:tr>
    </w:tbl>
    <w:p>
      <w:pPr>
        <w:spacing w:after="10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400"/>
        <w:gridCol w:w="7680"/>
      </w:tblGrid>
      <w:tr>
        <w:trPr>
          <w:tblHeader/>
        </w:trPr>
        <w:tc>
          <w:tcPr>
            <w:tcW w:type="dxa" w:w="2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Decay Value</w:t>
            </w:r>
          </w:p>
        </w:tc>
        <w:tc>
          <w:tcPr>
            <w:tcW w:type="dxa" w:w="76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Interpretation</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&lt; 0.0</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OOS beats IS — excellent (negative overfitting)</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0.0 – 0.20</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Very low decay — highly robust</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0.20 – 0.40</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Moderate decay — confirmed real edge</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0.40 – 0.60</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High decay — edge questionable</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&gt; 0.60</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Severe overfitting — strategy unreliable</w:t>
            </w:r>
          </w:p>
        </w:tc>
      </w:tr>
    </w:tbl>
    <w:p>
      <w:pPr>
        <w:spacing w:after="80" w:before="0"/>
      </w:pPr>
    </w:p>
    <w:p>
      <w:pPr>
        <w:spacing w:after="60" w:before="60"/>
        <w:jc w:val="left"/>
      </w:pPr>
      <w:r>
        <w:rPr>
          <w:b/>
          <w:bCs/>
          <w:i w:val="false"/>
          <w:iCs w:val="false"/>
          <w:color w:val="1a2744"/>
          <w:sz w:val="20"/>
          <w:szCs w:val="20"/>
        </w:rPr>
        <w:t xml:space="preserve">StockQueen V4 Decay Score: 0.23  →  Confirmed real edge, moderate and acceptable decay.</w:t>
      </w:r>
    </w:p>
    <w:p>
      <w:pPr>
        <w:spacing w:after="120" w:before="0"/>
      </w:pPr>
    </w:p>
    <w:p>
      <w:pPr>
        <w:pStyle w:val="Heading2"/>
        <w:pBdr>
          <w:bottom w:val="single" w:color="2C4A8C" w:sz="6"/>
        </w:pBdr>
        <w:spacing w:after="100" w:before="200"/>
      </w:pPr>
      <w:r>
        <w:rPr>
          <w:b/>
          <w:bCs/>
          <w:color w:val="1a2744"/>
          <w:sz w:val="24"/>
          <w:szCs w:val="24"/>
        </w:rPr>
        <w:t xml:space="preserve">2.4  Pre-Locked Parameters (Anti-Overfitting Measures)</w:t>
      </w:r>
    </w:p>
    <w:p>
      <w:pPr>
        <w:spacing w:after="60" w:before="60"/>
        <w:jc w:val="left"/>
      </w:pPr>
      <w:r>
        <w:rPr>
          <w:b w:val="false"/>
          <w:bCs w:val="false"/>
          <w:i w:val="false"/>
          <w:iCs w:val="false"/>
          <w:color w:val="333333"/>
          <w:sz w:val="20"/>
          <w:szCs w:val="20"/>
        </w:rPr>
        <w:t xml:space="preserve">To prevent overfitting during the walk-forward search, key risk parameters were locked BEFORE any walk-forward search was conducted:</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3200"/>
        <w:gridCol w:w="2400"/>
        <w:gridCol w:w="4480"/>
      </w:tblGrid>
      <w:tr>
        <w:trPr>
          <w:tblHeader/>
        </w:trPr>
        <w:tc>
          <w:tcPr>
            <w:tcW w:type="dxa" w:w="3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Parameter</w:t>
            </w:r>
          </w:p>
        </w:tc>
        <w:tc>
          <w:tcPr>
            <w:tcW w:type="dxa" w:w="2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Locked Value</w:t>
            </w:r>
          </w:p>
        </w:tc>
        <w:tc>
          <w:tcPr>
            <w:tcW w:type="dxa" w:w="44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Reason</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ATR_STOP_MULT</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1.5×</w:t>
            </w:r>
          </w:p>
        </w:tc>
        <w:tc>
          <w:tcPr>
            <w:tcW w:type="dxa" w:w="44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Pre-determined risk philosophy</w:t>
            </w:r>
          </w:p>
        </w:tc>
      </w:tr>
      <w:tr>
        <w:tc>
          <w:tcPr>
            <w:tcW w:type="dxa" w:w="3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TRAILING_STOP_MULT</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1.5×</w:t>
            </w:r>
          </w:p>
        </w:tc>
        <w:tc>
          <w:tcPr>
            <w:tcW w:type="dxa" w:w="44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Pre-determined risk philosophy</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TRAILING_ACTIVATE</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0.5× ATR</w:t>
            </w:r>
          </w:p>
        </w:tc>
        <w:tc>
          <w:tcPr>
            <w:tcW w:type="dxa" w:w="44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Pre-determined risk philosophy</w:t>
            </w:r>
          </w:p>
        </w:tc>
      </w:tr>
      <w:tr>
        <w:tc>
          <w:tcPr>
            <w:tcW w:type="dxa" w:w="3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Slippage</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0.1% per side</w:t>
            </w:r>
          </w:p>
        </w:tc>
        <w:tc>
          <w:tcPr>
            <w:tcW w:type="dxa" w:w="44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Conservative real-world estimate</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Liquidity Filter</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500K avg vol</w:t>
            </w:r>
          </w:p>
        </w:tc>
        <w:tc>
          <w:tcPr>
            <w:tcW w:type="dxa" w:w="44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Conservative liquidity requirement</w:t>
            </w:r>
          </w:p>
        </w:tc>
      </w:tr>
    </w:tbl>
    <w:p>
      <w:pPr>
        <w:spacing w:after="80" w:before="0"/>
      </w:pPr>
    </w:p>
    <w:p>
      <w:pPr>
        <w:spacing w:after="60" w:before="60"/>
        <w:jc w:val="left"/>
      </w:pPr>
      <w:r>
        <w:rPr>
          <w:b w:val="false"/>
          <w:bCs w:val="false"/>
          <w:i/>
          <w:iCs/>
          <w:color w:val="333333"/>
          <w:sz w:val="20"/>
          <w:szCs w:val="20"/>
        </w:rPr>
        <w:t xml:space="preserve">By locking these parameters outside the search space, the search grid was deliberately reduced to prevent over-engineering.</w:t>
      </w:r>
    </w:p>
    <w:p>
      <w:pPr>
        <w:spacing w:after="80" w:before="0"/>
      </w:pPr>
    </w:p>
    <w:p>
      <w:r>
        <w:br w:type="page"/>
      </w:r>
    </w:p>
    <w:p>
      <w:pPr>
        <w:pStyle w:val="Heading1"/>
        <w:shd w:fill="1a2744" w:val="clear"/>
        <w:spacing w:after="160" w:before="280"/>
      </w:pPr>
      <w:r>
        <w:rPr>
          <w:b/>
          <w:bCs/>
          <w:color w:val="FFFFFF"/>
          <w:sz w:val="32"/>
          <w:szCs w:val="32"/>
        </w:rPr>
        <w:t xml:space="preserve">SECTION 3: V4 TREND MOMENTUM — DETAILED RESULTS</w:t>
      </w:r>
    </w:p>
    <w:p>
      <w:pPr>
        <w:spacing w:after="80" w:before="0"/>
      </w:pPr>
    </w:p>
    <w:p>
      <w:pPr>
        <w:pStyle w:val="Heading2"/>
        <w:pBdr>
          <w:bottom w:val="single" w:color="2C4A8C" w:sz="6"/>
        </w:pBdr>
        <w:spacing w:after="100" w:before="200"/>
      </w:pPr>
      <w:r>
        <w:rPr>
          <w:b/>
          <w:bCs/>
          <w:color w:val="1a2744"/>
          <w:sz w:val="24"/>
          <w:szCs w:val="24"/>
        </w:rPr>
        <w:t xml:space="preserve">3.1  Strategy Description</w:t>
      </w:r>
    </w:p>
    <w:p>
      <w:pPr>
        <w:spacing w:after="60" w:before="60"/>
        <w:jc w:val="left"/>
      </w:pPr>
      <w:r>
        <w:rPr>
          <w:b w:val="false"/>
          <w:bCs w:val="false"/>
          <w:i w:val="false"/>
          <w:iCs w:val="false"/>
          <w:color w:val="333333"/>
          <w:sz w:val="20"/>
          <w:szCs w:val="20"/>
        </w:rPr>
        <w:t xml:space="preserve">The V4 Trend Momentum strategy is the core strategy of the StockQueen system, allocating 60-70% of portfolio weight. It uses a 9-factor scoring model to rank 500+ U.S. equities weekly and holds the top 3 positions.</w:t>
      </w:r>
    </w:p>
    <w:p>
      <w:pPr>
        <w:spacing w:after="80" w:before="0"/>
      </w:pPr>
    </w:p>
    <w:p>
      <w:pPr>
        <w:spacing w:after="60" w:before="60"/>
        <w:jc w:val="left"/>
      </w:pPr>
      <w:r>
        <w:rPr>
          <w:b/>
          <w:bCs/>
          <w:i w:val="false"/>
          <w:iCs w:val="false"/>
          <w:color w:val="333333"/>
          <w:sz w:val="20"/>
          <w:szCs w:val="20"/>
        </w:rPr>
        <w:t xml:space="preserve">Nine Scoring Factors: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3200"/>
        <w:gridCol w:w="1960"/>
        <w:gridCol w:w="4920"/>
      </w:tblGrid>
      <w:tr>
        <w:trPr>
          <w:tblHeader/>
        </w:trPr>
        <w:tc>
          <w:tcPr>
            <w:tcW w:type="dxa" w:w="3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Factor</w:t>
            </w:r>
          </w:p>
        </w:tc>
        <w:tc>
          <w:tcPr>
            <w:tcW w:type="dxa" w:w="196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Category</w:t>
            </w:r>
          </w:p>
        </w:tc>
        <w:tc>
          <w:tcPr>
            <w:tcW w:type="dxa" w:w="492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Description</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1-Week Momentum</w:t>
            </w:r>
          </w:p>
        </w:tc>
        <w:tc>
          <w:tcPr>
            <w:tcW w:type="dxa" w:w="196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Momentum</w:t>
            </w:r>
          </w:p>
        </w:tc>
        <w:tc>
          <w:tcPr>
            <w:tcW w:type="dxa" w:w="492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Short-term price momentum</w:t>
            </w:r>
          </w:p>
        </w:tc>
      </w:tr>
      <w:tr>
        <w:tc>
          <w:tcPr>
            <w:tcW w:type="dxa" w:w="3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1-Month Momentum</w:t>
            </w:r>
          </w:p>
        </w:tc>
        <w:tc>
          <w:tcPr>
            <w:tcW w:type="dxa" w:w="196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Momentum</w:t>
            </w:r>
          </w:p>
        </w:tc>
        <w:tc>
          <w:tcPr>
            <w:tcW w:type="dxa" w:w="492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Medium-term price momentum</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3-Month Momentum</w:t>
            </w:r>
          </w:p>
        </w:tc>
        <w:tc>
          <w:tcPr>
            <w:tcW w:type="dxa" w:w="196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Momentum</w:t>
            </w:r>
          </w:p>
        </w:tc>
        <w:tc>
          <w:tcPr>
            <w:tcW w:type="dxa" w:w="492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Long-term price momentum</w:t>
            </w:r>
          </w:p>
        </w:tc>
      </w:tr>
      <w:tr>
        <w:tc>
          <w:tcPr>
            <w:tcW w:type="dxa" w:w="3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RSI Score</w:t>
            </w:r>
          </w:p>
        </w:tc>
        <w:tc>
          <w:tcPr>
            <w:tcW w:type="dxa" w:w="196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Technical</w:t>
            </w:r>
          </w:p>
        </w:tc>
        <w:tc>
          <w:tcPr>
            <w:tcW w:type="dxa" w:w="492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Relative Strength vs overbought/oversold</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Volume Ratio</w:t>
            </w:r>
          </w:p>
        </w:tc>
        <w:tc>
          <w:tcPr>
            <w:tcW w:type="dxa" w:w="196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Technical</w:t>
            </w:r>
          </w:p>
        </w:tc>
        <w:tc>
          <w:tcPr>
            <w:tcW w:type="dxa" w:w="492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Recent volume vs 20-day average</w:t>
            </w:r>
          </w:p>
        </w:tc>
      </w:tr>
      <w:tr>
        <w:tc>
          <w:tcPr>
            <w:tcW w:type="dxa" w:w="3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ATR Normalised</w:t>
            </w:r>
          </w:p>
        </w:tc>
        <w:tc>
          <w:tcPr>
            <w:tcW w:type="dxa" w:w="196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Volatility</w:t>
            </w:r>
          </w:p>
        </w:tc>
        <w:tc>
          <w:tcPr>
            <w:tcW w:type="dxa" w:w="492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Risk-adjusted return potential</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Earnings Quality</w:t>
            </w:r>
          </w:p>
        </w:tc>
        <w:tc>
          <w:tcPr>
            <w:tcW w:type="dxa" w:w="196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Fundamental</w:t>
            </w:r>
          </w:p>
        </w:tc>
        <w:tc>
          <w:tcPr>
            <w:tcW w:type="dxa" w:w="492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EPS beat rate and surprise magnitude</w:t>
            </w:r>
          </w:p>
        </w:tc>
      </w:tr>
      <w:tr>
        <w:tc>
          <w:tcPr>
            <w:tcW w:type="dxa" w:w="3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Sector Momentum</w:t>
            </w:r>
          </w:p>
        </w:tc>
        <w:tc>
          <w:tcPr>
            <w:tcW w:type="dxa" w:w="196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Sector</w:t>
            </w:r>
          </w:p>
        </w:tc>
        <w:tc>
          <w:tcPr>
            <w:tcW w:type="dxa" w:w="492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Sector-relative momentum</w:t>
            </w:r>
          </w:p>
        </w:tc>
      </w:tr>
      <w:tr>
        <w:tc>
          <w:tcPr>
            <w:tcW w:type="dxa" w:w="3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ML Rank Score</w:t>
            </w:r>
          </w:p>
        </w:tc>
        <w:tc>
          <w:tcPr>
            <w:tcW w:type="dxa" w:w="196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AI/ML</w:t>
            </w:r>
          </w:p>
        </w:tc>
        <w:tc>
          <w:tcPr>
            <w:tcW w:type="dxa" w:w="492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Gradient Boosted Trees probability score</w:t>
            </w:r>
          </w:p>
        </w:tc>
      </w:tr>
    </w:tbl>
    <w:p>
      <w:pPr>
        <w:spacing w:after="120" w:before="0"/>
      </w:pPr>
    </w:p>
    <w:p>
      <w:pPr>
        <w:pStyle w:val="Heading2"/>
        <w:pBdr>
          <w:bottom w:val="single" w:color="2C4A8C" w:sz="6"/>
        </w:pBdr>
        <w:spacing w:after="100" w:before="200"/>
      </w:pPr>
      <w:r>
        <w:rPr>
          <w:b/>
          <w:bCs/>
          <w:color w:val="1a2744"/>
          <w:sz w:val="24"/>
          <w:szCs w:val="24"/>
        </w:rPr>
        <w:t xml:space="preserve">3.2  Walk-Forward Results — All 5 Windows</w:t>
      </w:r>
    </w:p>
    <w:p>
      <w:pPr>
        <w:spacing w:after="60" w:before="0"/>
      </w:pPr>
    </w:p>
    <w:tbl>
      <w:tblPr>
        <w:tblW w:type="dxa" w:w="9080"/>
        <w:tblBorders>
          <w:top w:val="single" w:color="AACCDD" w:sz="4"/>
          <w:left w:val="single" w:color="AACCDD" w:sz="4"/>
          <w:bottom w:val="single" w:color="AACCDD" w:sz="4"/>
          <w:right w:val="single" w:color="AACCDD" w:sz="4"/>
          <w:insideH w:val="single" w:color="auto" w:sz="4"/>
          <w:insideV w:val="single" w:color="auto" w:sz="4"/>
        </w:tblBorders>
      </w:tblPr>
      <w:tblGrid>
        <w:gridCol w:w="600"/>
        <w:gridCol w:w="1200"/>
        <w:gridCol w:w="1000"/>
        <w:gridCol w:w="2400"/>
        <w:gridCol w:w="1000"/>
        <w:gridCol w:w="1100"/>
        <w:gridCol w:w="1000"/>
        <w:gridCol w:w="780"/>
      </w:tblGrid>
      <w:tr>
        <w:trPr>
          <w:tblHeader/>
        </w:trPr>
        <w:tc>
          <w:tcPr>
            <w:tcW w:type="dxa" w:w="6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Window</w:t>
            </w:r>
          </w:p>
        </w:tc>
        <w:tc>
          <w:tcPr>
            <w:tcW w:type="dxa" w:w="1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Training Period</w:t>
            </w:r>
          </w:p>
        </w:tc>
        <w:tc>
          <w:tcPr>
            <w:tcW w:type="dxa" w:w="1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Test Period</w:t>
            </w:r>
          </w:p>
        </w:tc>
        <w:tc>
          <w:tcPr>
            <w:tcW w:type="dxa" w:w="2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Market Environment</w:t>
            </w:r>
          </w:p>
        </w:tc>
        <w:tc>
          <w:tcPr>
            <w:tcW w:type="dxa" w:w="1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IS Sharpe</w:t>
            </w:r>
          </w:p>
        </w:tc>
        <w:tc>
          <w:tcPr>
            <w:tcW w:type="dxa" w:w="11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OOS Sharpe</w:t>
            </w:r>
          </w:p>
        </w:tc>
        <w:tc>
          <w:tcPr>
            <w:tcW w:type="dxa" w:w="1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OOS Return</w:t>
            </w:r>
          </w:p>
        </w:tc>
        <w:tc>
          <w:tcPr>
            <w:tcW w:type="dxa" w:w="7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Decay</w:t>
            </w:r>
          </w:p>
        </w:tc>
      </w:tr>
      <w:tr>
        <w:tc>
          <w:tcPr>
            <w:tcW w:type="dxa" w:w="6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W1</w:t>
            </w:r>
          </w:p>
        </w:tc>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2018–2019</w:t>
            </w:r>
          </w:p>
        </w:tc>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2020</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COVID Crash + Recovery</w:t>
            </w:r>
          </w:p>
        </w:tc>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2.17</w:t>
            </w:r>
          </w:p>
        </w:tc>
        <w:tc>
          <w:tcPr>
            <w:tcW w:type="dxa" w:w="11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1.88</w:t>
            </w:r>
          </w:p>
        </w:tc>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+99.5%</w:t>
            </w:r>
          </w:p>
        </w:tc>
        <w:tc>
          <w:tcPr>
            <w:tcW w:type="dxa" w:w="7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0.13</w:t>
            </w:r>
          </w:p>
        </w:tc>
      </w:tr>
      <w:tr>
        <w:tc>
          <w:tcPr>
            <w:tcW w:type="dxa" w:w="6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W2</w:t>
            </w:r>
          </w:p>
        </w:tc>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2018–2020</w:t>
            </w:r>
          </w:p>
        </w:tc>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2021</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FOMO Bull Market</w:t>
            </w:r>
          </w:p>
        </w:tc>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2.94</w:t>
            </w:r>
          </w:p>
        </w:tc>
        <w:tc>
          <w:tcPr>
            <w:tcW w:type="dxa" w:w="11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2.89</w:t>
            </w:r>
          </w:p>
        </w:tc>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+216.0%</w:t>
            </w:r>
          </w:p>
        </w:tc>
        <w:tc>
          <w:tcPr>
            <w:tcW w:type="dxa" w:w="7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0.02</w:t>
            </w:r>
          </w:p>
        </w:tc>
      </w:tr>
      <w:tr>
        <w:tc>
          <w:tcPr>
            <w:tcW w:type="dxa" w:w="6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W3</w:t>
            </w:r>
          </w:p>
        </w:tc>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2018–2021</w:t>
            </w:r>
          </w:p>
        </w:tc>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2022</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Fed Rate Hike Bear</w:t>
            </w:r>
          </w:p>
        </w:tc>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2.62</w:t>
            </w:r>
          </w:p>
        </w:tc>
        <w:tc>
          <w:tcPr>
            <w:tcW w:type="dxa" w:w="11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1.70</w:t>
            </w:r>
          </w:p>
        </w:tc>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+57.9%</w:t>
            </w:r>
          </w:p>
        </w:tc>
        <w:tc>
          <w:tcPr>
            <w:tcW w:type="dxa" w:w="7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0.35</w:t>
            </w:r>
          </w:p>
        </w:tc>
      </w:tr>
      <w:tr>
        <w:tc>
          <w:tcPr>
            <w:tcW w:type="dxa" w:w="6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W4</w:t>
            </w:r>
          </w:p>
        </w:tc>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2018–2022</w:t>
            </w:r>
          </w:p>
        </w:tc>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2023</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AI-Led Recovery</w:t>
            </w:r>
          </w:p>
        </w:tc>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w:t>
            </w:r>
          </w:p>
        </w:tc>
        <w:tc>
          <w:tcPr>
            <w:tcW w:type="dxa" w:w="11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0.00</w:t>
            </w:r>
          </w:p>
        </w:tc>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+0.2%</w:t>
            </w:r>
          </w:p>
        </w:tc>
        <w:tc>
          <w:tcPr>
            <w:tcW w:type="dxa" w:w="7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1.00</w:t>
            </w:r>
          </w:p>
        </w:tc>
      </w:tr>
      <w:tr>
        <w:tc>
          <w:tcPr>
            <w:tcW w:type="dxa" w:w="6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W5</w:t>
            </w:r>
          </w:p>
        </w:tc>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2018–2023</w:t>
            </w:r>
          </w:p>
        </w:tc>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2024</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AI Bull Market</w:t>
            </w:r>
          </w:p>
        </w:tc>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1.73</w:t>
            </w:r>
          </w:p>
        </w:tc>
        <w:tc>
          <w:tcPr>
            <w:tcW w:type="dxa" w:w="11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2.05</w:t>
            </w:r>
          </w:p>
        </w:tc>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+183.4%</w:t>
            </w:r>
          </w:p>
        </w:tc>
        <w:tc>
          <w:tcPr>
            <w:tcW w:type="dxa" w:w="7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-0.19</w:t>
            </w:r>
          </w:p>
        </w:tc>
      </w:tr>
      <w:tr>
        <w:tc>
          <w:tcPr>
            <w:tcW w:type="dxa" w:w="6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Average</w:t>
            </w:r>
          </w:p>
        </w:tc>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
            </w:r>
          </w:p>
        </w:tc>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
            </w:r>
          </w:p>
        </w:tc>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2.29</w:t>
            </w:r>
          </w:p>
        </w:tc>
        <w:tc>
          <w:tcPr>
            <w:tcW w:type="dxa" w:w="11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1.70</w:t>
            </w:r>
          </w:p>
        </w:tc>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+111.4%</w:t>
            </w:r>
          </w:p>
        </w:tc>
        <w:tc>
          <w:tcPr>
            <w:tcW w:type="dxa" w:w="7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0.23</w:t>
            </w:r>
          </w:p>
        </w:tc>
      </w:tr>
    </w:tbl>
    <w:p>
      <w:pPr>
        <w:spacing w:after="80" w:before="0"/>
      </w:pPr>
    </w:p>
    <w:p>
      <w:pPr>
        <w:pStyle w:val="Heading3"/>
        <w:spacing w:after="80" w:before="160"/>
      </w:pPr>
      <w:r>
        <w:rPr>
          <w:sz w:val="20"/>
          <w:szCs w:val="20"/>
        </w:rPr>
        <w:t>Year-by-Year OOS vs S&amp;P 500 (GHA Verified)</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00"/>
        <w:gridCol w:w="1560"/>
        <w:gridCol w:w="1200"/>
        <w:gridCol w:w="1560"/>
        <w:gridCol w:w="1200"/>
        <w:gridCol w:w="1440"/>
        <w:gridCol w:w="1500"/>
      </w:tblGrid>
      <w:tr>
        <w:trPr>
          <w:shd w:fill="1a2744" w:color="auto" w:val="clear"/>
        </w:trPr>
        <w:tc>
          <w:tcPr>
            <w:tcW w:type="dxa" w:w="900"/>
            <w:shd w:fill="1a2744" w:color="auto" w:val="clear"/>
            <w:tcMar>
              <w:top w:type="dxa" w:w="80"/>
              <w:bottom w:type="dxa" w:w="80"/>
              <w:left w:type="dxa" w:w="100"/>
              <w:right w:type="dxa" w:w="100"/>
            </w:tcMar>
          </w:tcPr>
          <w:p>
            <w:pPr>
              <w:jc w:val="center"/>
            </w:pPr>
            <w:r>
              <w:rPr>
                <w:b/>
                <w:color w:val="FFFFFF"/>
                <w:sz w:val="16"/>
              </w:rPr>
              <w:t>Window</w:t>
            </w:r>
          </w:p>
        </w:tc>
        <w:tc>
          <w:tcPr>
            <w:tcW w:type="dxa" w:w="1560"/>
            <w:shd w:fill="1a2744" w:color="auto" w:val="clear"/>
            <w:tcMar>
              <w:top w:type="dxa" w:w="80"/>
              <w:bottom w:type="dxa" w:w="80"/>
              <w:left w:type="dxa" w:w="100"/>
              <w:right w:type="dxa" w:w="100"/>
            </w:tcMar>
          </w:tcPr>
          <w:p>
            <w:pPr>
              <w:jc w:val="center"/>
            </w:pPr>
            <w:r>
              <w:rPr>
                <w:b/>
                <w:color w:val="FFFFFF"/>
                <w:sz w:val="16"/>
              </w:rPr>
              <w:t>Market Regime</w:t>
            </w:r>
          </w:p>
        </w:tc>
        <w:tc>
          <w:tcPr>
            <w:tcW w:type="dxa" w:w="1200"/>
            <w:shd w:fill="1a2744" w:color="auto" w:val="clear"/>
            <w:tcMar>
              <w:top w:type="dxa" w:w="80"/>
              <w:bottom w:type="dxa" w:w="80"/>
              <w:left w:type="dxa" w:w="100"/>
              <w:right w:type="dxa" w:w="100"/>
            </w:tcMar>
          </w:tcPr>
          <w:p>
            <w:pPr>
              <w:jc w:val="center"/>
            </w:pPr>
            <w:r>
              <w:rPr>
                <w:b/>
                <w:color w:val="FFFFFF"/>
                <w:sz w:val="16"/>
              </w:rPr>
              <w:t>OOS Sharpe</w:t>
            </w:r>
          </w:p>
        </w:tc>
        <w:tc>
          <w:tcPr>
            <w:tcW w:type="dxa" w:w="1560"/>
            <w:shd w:fill="1a2744" w:color="auto" w:val="clear"/>
            <w:tcMar>
              <w:top w:type="dxa" w:w="80"/>
              <w:bottom w:type="dxa" w:w="80"/>
              <w:left w:type="dxa" w:w="100"/>
              <w:right w:type="dxa" w:w="100"/>
            </w:tcMar>
          </w:tcPr>
          <w:p>
            <w:pPr>
              <w:jc w:val="center"/>
            </w:pPr>
            <w:r>
              <w:rPr>
                <w:b/>
                <w:color w:val="FFFFFF"/>
                <w:sz w:val="16"/>
              </w:rPr>
              <w:t>Strategy</w:t>
            </w:r>
          </w:p>
        </w:tc>
        <w:tc>
          <w:tcPr>
            <w:tcW w:type="dxa" w:w="1200"/>
            <w:shd w:fill="1a2744" w:color="auto" w:val="clear"/>
            <w:tcMar>
              <w:top w:type="dxa" w:w="80"/>
              <w:bottom w:type="dxa" w:w="80"/>
              <w:left w:type="dxa" w:w="100"/>
              <w:right w:type="dxa" w:w="100"/>
            </w:tcMar>
          </w:tcPr>
          <w:p>
            <w:pPr>
              <w:jc w:val="center"/>
            </w:pPr>
            <w:r>
              <w:rPr>
                <w:b/>
                <w:color w:val="FFFFFF"/>
                <w:sz w:val="16"/>
              </w:rPr>
              <w:t>SPY</w:t>
            </w:r>
          </w:p>
        </w:tc>
        <w:tc>
          <w:tcPr>
            <w:tcW w:type="dxa" w:w="1440"/>
            <w:shd w:fill="1a2744" w:color="auto" w:val="clear"/>
            <w:tcMar>
              <w:top w:type="dxa" w:w="80"/>
              <w:bottom w:type="dxa" w:w="80"/>
              <w:left w:type="dxa" w:w="100"/>
              <w:right w:type="dxa" w:w="100"/>
            </w:tcMar>
          </w:tcPr>
          <w:p>
            <w:pPr>
              <w:jc w:val="center"/>
            </w:pPr>
            <w:r>
              <w:rPr>
                <w:b/>
                <w:color w:val="FFFFFF"/>
                <w:sz w:val="16"/>
              </w:rPr>
              <w:t>Alpha</w:t>
            </w:r>
          </w:p>
        </w:tc>
        <w:tc>
          <w:tcPr>
            <w:tcW w:type="dxa" w:w="1500"/>
            <w:shd w:fill="1a2744" w:color="auto" w:val="clear"/>
            <w:tcMar>
              <w:top w:type="dxa" w:w="80"/>
              <w:bottom w:type="dxa" w:w="80"/>
              <w:left w:type="dxa" w:w="100"/>
              <w:right w:type="dxa" w:w="100"/>
            </w:tcMar>
          </w:tcPr>
          <w:p>
            <w:pPr>
              <w:jc w:val="center"/>
            </w:pPr>
            <w:r>
              <w:rPr>
                <w:b/>
                <w:color w:val="FFFFFF"/>
                <w:sz w:val="16"/>
              </w:rPr>
              <w:t>Max DD</w:t>
            </w:r>
          </w:p>
        </w:tc>
      </w:tr>
      <w:tr>
        <w:tc>
          <w:tcPr>
            <w:tcW w:type="dxa" w:w="900"/>
            <w:tcMar>
              <w:top w:type="dxa" w:w="60"/>
              <w:bottom w:type="dxa" w:w="60"/>
              <w:left w:type="dxa" w:w="100"/>
              <w:right w:type="dxa" w:w="100"/>
            </w:tcMar>
          </w:tcPr>
          <w:p>
            <w:r>
              <w:rPr>
                <w:sz w:val="16"/>
              </w:rPr>
              <w:t>W1 2020</w:t>
            </w:r>
          </w:p>
        </w:tc>
        <w:tc>
          <w:tcPr>
            <w:tcW w:type="dxa" w:w="1560"/>
            <w:tcMar>
              <w:top w:type="dxa" w:w="60"/>
              <w:bottom w:type="dxa" w:w="60"/>
              <w:left w:type="dxa" w:w="100"/>
              <w:right w:type="dxa" w:w="100"/>
            </w:tcMar>
          </w:tcPr>
          <w:p>
            <w:r>
              <w:rPr>
                <w:sz w:val="16"/>
              </w:rPr>
              <w:t>COVID Crash</w:t>
            </w:r>
          </w:p>
        </w:tc>
        <w:tc>
          <w:tcPr>
            <w:tcW w:type="dxa" w:w="1200"/>
            <w:tcMar>
              <w:top w:type="dxa" w:w="60"/>
              <w:bottom w:type="dxa" w:w="60"/>
              <w:left w:type="dxa" w:w="100"/>
              <w:right w:type="dxa" w:w="100"/>
            </w:tcMar>
          </w:tcPr>
          <w:p>
            <w:pPr>
              <w:jc w:val="center"/>
            </w:pPr>
            <w:r>
              <w:rPr>
                <w:b/>
                <w:color w:val="1a6e3a"/>
                <w:sz w:val="16"/>
              </w:rPr>
              <w:t>1.88</w:t>
            </w:r>
          </w:p>
        </w:tc>
        <w:tc>
          <w:tcPr>
            <w:tcW w:type="dxa" w:w="1560"/>
            <w:tcMar>
              <w:top w:type="dxa" w:w="60"/>
              <w:bottom w:type="dxa" w:w="60"/>
              <w:left w:type="dxa" w:w="100"/>
              <w:right w:type="dxa" w:w="100"/>
            </w:tcMar>
          </w:tcPr>
          <w:p>
            <w:pPr>
              <w:jc w:val="center"/>
            </w:pPr>
            <w:r>
              <w:rPr>
                <w:b/>
                <w:color w:val="1a6e3a"/>
                <w:sz w:val="16"/>
              </w:rPr>
              <w:t>+99.5%</w:t>
            </w:r>
          </w:p>
        </w:tc>
        <w:tc>
          <w:tcPr>
            <w:tcW w:type="dxa" w:w="1200"/>
            <w:tcMar>
              <w:top w:type="dxa" w:w="60"/>
              <w:bottom w:type="dxa" w:w="60"/>
              <w:left w:type="dxa" w:w="100"/>
              <w:right w:type="dxa" w:w="100"/>
            </w:tcMar>
          </w:tcPr>
          <w:p>
            <w:pPr>
              <w:jc w:val="center"/>
            </w:pPr>
            <w:r>
              <w:rPr>
                <w:sz w:val="16"/>
              </w:rPr>
              <w:t>+18.4%</w:t>
            </w:r>
          </w:p>
        </w:tc>
        <w:tc>
          <w:tcPr>
            <w:tcW w:type="dxa" w:w="1440"/>
            <w:tcMar>
              <w:top w:type="dxa" w:w="60"/>
              <w:bottom w:type="dxa" w:w="60"/>
              <w:left w:type="dxa" w:w="100"/>
              <w:right w:type="dxa" w:w="100"/>
            </w:tcMar>
          </w:tcPr>
          <w:p>
            <w:pPr>
              <w:jc w:val="center"/>
            </w:pPr>
            <w:r>
              <w:rPr>
                <w:b/>
                <w:color w:val="1a6e3a"/>
                <w:sz w:val="16"/>
              </w:rPr>
              <w:t>+81.1%</w:t>
            </w:r>
          </w:p>
        </w:tc>
        <w:tc>
          <w:tcPr>
            <w:tcW w:type="dxa" w:w="1500"/>
            <w:tcMar>
              <w:top w:type="dxa" w:w="60"/>
              <w:bottom w:type="dxa" w:w="60"/>
              <w:left w:type="dxa" w:w="100"/>
              <w:right w:type="dxa" w:w="100"/>
            </w:tcMar>
          </w:tcPr>
          <w:p>
            <w:pPr>
              <w:jc w:val="center"/>
            </w:pPr>
            <w:r>
              <w:rPr>
                <w:sz w:val="16"/>
              </w:rPr>
              <w:t>-14.2%</w:t>
            </w:r>
          </w:p>
        </w:tc>
      </w:tr>
      <w:tr>
        <w:tc>
          <w:tcPr>
            <w:tcW w:type="dxa" w:w="900"/>
            <w:tcMar>
              <w:top w:type="dxa" w:w="60"/>
              <w:bottom w:type="dxa" w:w="60"/>
              <w:left w:type="dxa" w:w="100"/>
              <w:right w:type="dxa" w:w="100"/>
            </w:tcMar>
          </w:tcPr>
          <w:p>
            <w:r>
              <w:rPr>
                <w:sz w:val="16"/>
              </w:rPr>
              <w:t>W2 2021</w:t>
            </w:r>
          </w:p>
        </w:tc>
        <w:tc>
          <w:tcPr>
            <w:tcW w:type="dxa" w:w="1560"/>
            <w:tcMar>
              <w:top w:type="dxa" w:w="60"/>
              <w:bottom w:type="dxa" w:w="60"/>
              <w:left w:type="dxa" w:w="100"/>
              <w:right w:type="dxa" w:w="100"/>
            </w:tcMar>
          </w:tcPr>
          <w:p>
            <w:r>
              <w:rPr>
                <w:sz w:val="16"/>
              </w:rPr>
              <w:t>FOMO Bull</w:t>
            </w:r>
          </w:p>
        </w:tc>
        <w:tc>
          <w:tcPr>
            <w:tcW w:type="dxa" w:w="1200"/>
            <w:tcMar>
              <w:top w:type="dxa" w:w="60"/>
              <w:bottom w:type="dxa" w:w="60"/>
              <w:left w:type="dxa" w:w="100"/>
              <w:right w:type="dxa" w:w="100"/>
            </w:tcMar>
          </w:tcPr>
          <w:p>
            <w:pPr>
              <w:jc w:val="center"/>
            </w:pPr>
            <w:r>
              <w:rPr>
                <w:b/>
                <w:color w:val="1a6e3a"/>
                <w:sz w:val="16"/>
              </w:rPr>
              <w:t>2.89</w:t>
            </w:r>
          </w:p>
        </w:tc>
        <w:tc>
          <w:tcPr>
            <w:tcW w:type="dxa" w:w="1560"/>
            <w:tcMar>
              <w:top w:type="dxa" w:w="60"/>
              <w:bottom w:type="dxa" w:w="60"/>
              <w:left w:type="dxa" w:w="100"/>
              <w:right w:type="dxa" w:w="100"/>
            </w:tcMar>
          </w:tcPr>
          <w:p>
            <w:pPr>
              <w:jc w:val="center"/>
            </w:pPr>
            <w:r>
              <w:rPr>
                <w:b/>
                <w:color w:val="1a6e3a"/>
                <w:sz w:val="16"/>
              </w:rPr>
              <w:t>+216.0%</w:t>
            </w:r>
          </w:p>
        </w:tc>
        <w:tc>
          <w:tcPr>
            <w:tcW w:type="dxa" w:w="1200"/>
            <w:tcMar>
              <w:top w:type="dxa" w:w="60"/>
              <w:bottom w:type="dxa" w:w="60"/>
              <w:left w:type="dxa" w:w="100"/>
              <w:right w:type="dxa" w:w="100"/>
            </w:tcMar>
          </w:tcPr>
          <w:p>
            <w:pPr>
              <w:jc w:val="center"/>
            </w:pPr>
            <w:r>
              <w:rPr>
                <w:sz w:val="16"/>
              </w:rPr>
              <w:t>+28.7%</w:t>
            </w:r>
          </w:p>
        </w:tc>
        <w:tc>
          <w:tcPr>
            <w:tcW w:type="dxa" w:w="1440"/>
            <w:tcMar>
              <w:top w:type="dxa" w:w="60"/>
              <w:bottom w:type="dxa" w:w="60"/>
              <w:left w:type="dxa" w:w="100"/>
              <w:right w:type="dxa" w:w="100"/>
            </w:tcMar>
          </w:tcPr>
          <w:p>
            <w:pPr>
              <w:jc w:val="center"/>
            </w:pPr>
            <w:r>
              <w:rPr>
                <w:b/>
                <w:color w:val="1a6e3a"/>
                <w:sz w:val="16"/>
              </w:rPr>
              <w:t>+187.3%</w:t>
            </w:r>
          </w:p>
        </w:tc>
        <w:tc>
          <w:tcPr>
            <w:tcW w:type="dxa" w:w="1500"/>
            <w:tcMar>
              <w:top w:type="dxa" w:w="60"/>
              <w:bottom w:type="dxa" w:w="60"/>
              <w:left w:type="dxa" w:w="100"/>
              <w:right w:type="dxa" w:w="100"/>
            </w:tcMar>
          </w:tcPr>
          <w:p>
            <w:pPr>
              <w:jc w:val="center"/>
            </w:pPr>
            <w:r>
              <w:rPr>
                <w:sz w:val="16"/>
              </w:rPr>
              <w:t>-18.9%</w:t>
            </w:r>
          </w:p>
        </w:tc>
      </w:tr>
      <w:tr>
        <w:trPr>
          <w:shd w:fill="D5E8F0" w:color="auto" w:val="clear"/>
        </w:trPr>
        <w:tc>
          <w:tcPr>
            <w:tcW w:type="dxa" w:w="900"/>
            <w:shd w:fill="D5E8F0" w:color="auto" w:val="clear"/>
            <w:tcMar>
              <w:top w:type="dxa" w:w="60"/>
              <w:bottom w:type="dxa" w:w="60"/>
              <w:left w:type="dxa" w:w="100"/>
              <w:right w:type="dxa" w:w="100"/>
            </w:tcMar>
          </w:tcPr>
          <w:p>
            <w:r>
              <w:rPr>
                <w:b/>
                <w:sz w:val="16"/>
              </w:rPr>
              <w:t>W3 2022</w:t>
            </w:r>
          </w:p>
        </w:tc>
        <w:tc>
          <w:tcPr>
            <w:tcW w:type="dxa" w:w="1560"/>
            <w:shd w:fill="D5E8F0" w:color="auto" w:val="clear"/>
            <w:tcMar>
              <w:top w:type="dxa" w:w="60"/>
              <w:bottom w:type="dxa" w:w="60"/>
              <w:left w:type="dxa" w:w="100"/>
              <w:right w:type="dxa" w:w="100"/>
            </w:tcMar>
          </w:tcPr>
          <w:p>
            <w:r>
              <w:rPr>
                <w:b/>
                <w:sz w:val="16"/>
              </w:rPr>
              <w:t>Bear (Fed Hikes)</w:t>
            </w:r>
          </w:p>
        </w:tc>
        <w:tc>
          <w:tcPr>
            <w:tcW w:type="dxa" w:w="1200"/>
            <w:shd w:fill="D5E8F0" w:color="auto" w:val="clear"/>
            <w:tcMar>
              <w:top w:type="dxa" w:w="60"/>
              <w:bottom w:type="dxa" w:w="60"/>
              <w:left w:type="dxa" w:w="100"/>
              <w:right w:type="dxa" w:w="100"/>
            </w:tcMar>
          </w:tcPr>
          <w:p>
            <w:pPr>
              <w:jc w:val="center"/>
            </w:pPr>
            <w:r>
              <w:rPr>
                <w:b/>
                <w:color w:val="1a6e3a"/>
                <w:sz w:val="16"/>
              </w:rPr>
              <w:t>1.70</w:t>
            </w:r>
          </w:p>
        </w:tc>
        <w:tc>
          <w:tcPr>
            <w:tcW w:type="dxa" w:w="1560"/>
            <w:shd w:fill="D5E8F0" w:color="auto" w:val="clear"/>
            <w:tcMar>
              <w:top w:type="dxa" w:w="60"/>
              <w:bottom w:type="dxa" w:w="60"/>
              <w:left w:type="dxa" w:w="100"/>
              <w:right w:type="dxa" w:w="100"/>
            </w:tcMar>
          </w:tcPr>
          <w:p>
            <w:pPr>
              <w:jc w:val="center"/>
            </w:pPr>
            <w:r>
              <w:rPr>
                <w:b/>
                <w:color w:val="1a6e3a"/>
                <w:sz w:val="16"/>
              </w:rPr>
              <w:t>+57.9%</w:t>
            </w:r>
          </w:p>
        </w:tc>
        <w:tc>
          <w:tcPr>
            <w:tcW w:type="dxa" w:w="1200"/>
            <w:shd w:fill="D5E8F0" w:color="auto" w:val="clear"/>
            <w:tcMar>
              <w:top w:type="dxa" w:w="60"/>
              <w:bottom w:type="dxa" w:w="60"/>
              <w:left w:type="dxa" w:w="100"/>
              <w:right w:type="dxa" w:w="100"/>
            </w:tcMar>
          </w:tcPr>
          <w:p>
            <w:pPr>
              <w:jc w:val="center"/>
            </w:pPr>
            <w:r>
              <w:rPr>
                <w:b/>
                <w:color w:val="c0392b"/>
                <w:sz w:val="16"/>
              </w:rPr>
              <w:t>-18.1%</w:t>
            </w:r>
          </w:p>
        </w:tc>
        <w:tc>
          <w:tcPr>
            <w:tcW w:type="dxa" w:w="1440"/>
            <w:shd w:fill="D5E8F0" w:color="auto" w:val="clear"/>
            <w:tcMar>
              <w:top w:type="dxa" w:w="60"/>
              <w:bottom w:type="dxa" w:w="60"/>
              <w:left w:type="dxa" w:w="100"/>
              <w:right w:type="dxa" w:w="100"/>
            </w:tcMar>
          </w:tcPr>
          <w:p>
            <w:pPr>
              <w:jc w:val="center"/>
            </w:pPr>
            <w:r>
              <w:rPr>
                <w:b/>
                <w:color w:val="1a6e3a"/>
                <w:sz w:val="16"/>
              </w:rPr>
              <w:t>+76.0%</w:t>
            </w:r>
          </w:p>
        </w:tc>
        <w:tc>
          <w:tcPr>
            <w:tcW w:type="dxa" w:w="1500"/>
            <w:shd w:fill="D5E8F0" w:color="auto" w:val="clear"/>
            <w:tcMar>
              <w:top w:type="dxa" w:w="60"/>
              <w:bottom w:type="dxa" w:w="60"/>
              <w:left w:type="dxa" w:w="100"/>
              <w:right w:type="dxa" w:w="100"/>
            </w:tcMar>
          </w:tcPr>
          <w:p>
            <w:pPr>
              <w:jc w:val="center"/>
            </w:pPr>
            <w:r>
              <w:rPr>
                <w:sz w:val="16"/>
              </w:rPr>
              <w:t>-9.7%</w:t>
            </w:r>
          </w:p>
        </w:tc>
      </w:tr>
      <w:tr>
        <w:trPr>
          <w:shd w:fill="FFF9E6" w:color="auto" w:val="clear"/>
        </w:trPr>
        <w:tc>
          <w:tcPr>
            <w:tcW w:type="dxa" w:w="900"/>
            <w:shd w:fill="FFF9E6" w:color="auto" w:val="clear"/>
            <w:tcMar>
              <w:top w:type="dxa" w:w="60"/>
              <w:bottom w:type="dxa" w:w="60"/>
              <w:left w:type="dxa" w:w="100"/>
              <w:right w:type="dxa" w:w="100"/>
            </w:tcMar>
          </w:tcPr>
          <w:p>
            <w:r>
              <w:rPr>
                <w:sz w:val="16"/>
              </w:rPr>
              <w:t>W4 2023*</w:t>
            </w:r>
          </w:p>
        </w:tc>
        <w:tc>
          <w:tcPr>
            <w:tcW w:type="dxa" w:w="1560"/>
            <w:shd w:fill="FFF9E6" w:color="auto" w:val="clear"/>
            <w:tcMar>
              <w:top w:type="dxa" w:w="60"/>
              <w:bottom w:type="dxa" w:w="60"/>
              <w:left w:type="dxa" w:w="100"/>
              <w:right w:type="dxa" w:w="100"/>
            </w:tcMar>
          </w:tcPr>
          <w:p>
            <w:r>
              <w:rPr>
                <w:sz w:val="16"/>
              </w:rPr>
              <w:t>AI Mega-Cap</w:t>
            </w:r>
          </w:p>
        </w:tc>
        <w:tc>
          <w:tcPr>
            <w:tcW w:type="dxa" w:w="1200"/>
            <w:shd w:fill="FFF9E6" w:color="auto" w:val="clear"/>
            <w:tcMar>
              <w:top w:type="dxa" w:w="60"/>
              <w:bottom w:type="dxa" w:w="60"/>
              <w:left w:type="dxa" w:w="100"/>
              <w:right w:type="dxa" w:w="100"/>
            </w:tcMar>
          </w:tcPr>
          <w:p>
            <w:pPr>
              <w:jc w:val="center"/>
            </w:pPr>
            <w:r>
              <w:rPr>
                <w:sz w:val="16"/>
              </w:rPr>
              <w:t>0.00</w:t>
            </w:r>
          </w:p>
        </w:tc>
        <w:tc>
          <w:tcPr>
            <w:tcW w:type="dxa" w:w="1560"/>
            <w:shd w:fill="FFF9E6" w:color="auto" w:val="clear"/>
            <w:tcMar>
              <w:top w:type="dxa" w:w="60"/>
              <w:bottom w:type="dxa" w:w="60"/>
              <w:left w:type="dxa" w:w="100"/>
              <w:right w:type="dxa" w:w="100"/>
            </w:tcMar>
          </w:tcPr>
          <w:p>
            <w:pPr>
              <w:jc w:val="center"/>
            </w:pPr>
            <w:r>
              <w:rPr>
                <w:sz w:val="16"/>
              </w:rPr>
              <w:t>+0.2%</w:t>
            </w:r>
          </w:p>
        </w:tc>
        <w:tc>
          <w:tcPr>
            <w:tcW w:type="dxa" w:w="1200"/>
            <w:shd w:fill="FFF9E6" w:color="auto" w:val="clear"/>
            <w:tcMar>
              <w:top w:type="dxa" w:w="60"/>
              <w:bottom w:type="dxa" w:w="60"/>
              <w:left w:type="dxa" w:w="100"/>
              <w:right w:type="dxa" w:w="100"/>
            </w:tcMar>
          </w:tcPr>
          <w:p>
            <w:pPr>
              <w:jc w:val="center"/>
            </w:pPr>
            <w:r>
              <w:rPr>
                <w:sz w:val="16"/>
              </w:rPr>
              <w:t>+26.3%</w:t>
            </w:r>
          </w:p>
        </w:tc>
        <w:tc>
          <w:tcPr>
            <w:tcW w:type="dxa" w:w="1440"/>
            <w:shd w:fill="FFF9E6" w:color="auto" w:val="clear"/>
            <w:tcMar>
              <w:top w:type="dxa" w:w="60"/>
              <w:bottom w:type="dxa" w:w="60"/>
              <w:left w:type="dxa" w:w="100"/>
              <w:right w:type="dxa" w:w="100"/>
            </w:tcMar>
          </w:tcPr>
          <w:p>
            <w:pPr>
              <w:jc w:val="center"/>
            </w:pPr>
            <w:r>
              <w:rPr>
                <w:color w:val="c0392b"/>
                <w:sz w:val="16"/>
              </w:rPr>
              <w:t>-26.1%</w:t>
            </w:r>
          </w:p>
        </w:tc>
        <w:tc>
          <w:tcPr>
            <w:tcW w:type="dxa" w:w="1500"/>
            <w:shd w:fill="FFF9E6" w:color="auto" w:val="clear"/>
            <w:tcMar>
              <w:top w:type="dxa" w:w="60"/>
              <w:bottom w:type="dxa" w:w="60"/>
              <w:left w:type="dxa" w:w="100"/>
              <w:right w:type="dxa" w:w="100"/>
            </w:tcMar>
          </w:tcPr>
          <w:p>
            <w:pPr>
              <w:jc w:val="center"/>
            </w:pPr>
            <w:r>
              <w:rPr>
                <w:sz w:val="16"/>
              </w:rPr>
              <w:t>-27.6%</w:t>
            </w:r>
          </w:p>
        </w:tc>
      </w:tr>
      <w:tr>
        <w:tc>
          <w:tcPr>
            <w:tcW w:type="dxa" w:w="900"/>
            <w:tcMar>
              <w:top w:type="dxa" w:w="60"/>
              <w:bottom w:type="dxa" w:w="60"/>
              <w:left w:type="dxa" w:w="100"/>
              <w:right w:type="dxa" w:w="100"/>
            </w:tcMar>
          </w:tcPr>
          <w:p>
            <w:r>
              <w:rPr>
                <w:sz w:val="16"/>
              </w:rPr>
              <w:t>W5 2024</w:t>
            </w:r>
          </w:p>
        </w:tc>
        <w:tc>
          <w:tcPr>
            <w:tcW w:type="dxa" w:w="1560"/>
            <w:tcMar>
              <w:top w:type="dxa" w:w="60"/>
              <w:bottom w:type="dxa" w:w="60"/>
              <w:left w:type="dxa" w:w="100"/>
              <w:right w:type="dxa" w:w="100"/>
            </w:tcMar>
          </w:tcPr>
          <w:p>
            <w:r>
              <w:rPr>
                <w:sz w:val="16"/>
              </w:rPr>
              <w:t>AI Bull Broadening</w:t>
            </w:r>
          </w:p>
        </w:tc>
        <w:tc>
          <w:tcPr>
            <w:tcW w:type="dxa" w:w="1200"/>
            <w:tcMar>
              <w:top w:type="dxa" w:w="60"/>
              <w:bottom w:type="dxa" w:w="60"/>
              <w:left w:type="dxa" w:w="100"/>
              <w:right w:type="dxa" w:w="100"/>
            </w:tcMar>
          </w:tcPr>
          <w:p>
            <w:pPr>
              <w:jc w:val="center"/>
            </w:pPr>
            <w:r>
              <w:rPr>
                <w:b/>
                <w:color w:val="1a6e3a"/>
                <w:sz w:val="16"/>
              </w:rPr>
              <w:t>2.05</w:t>
            </w:r>
          </w:p>
        </w:tc>
        <w:tc>
          <w:tcPr>
            <w:tcW w:type="dxa" w:w="1560"/>
            <w:tcMar>
              <w:top w:type="dxa" w:w="60"/>
              <w:bottom w:type="dxa" w:w="60"/>
              <w:left w:type="dxa" w:w="100"/>
              <w:right w:type="dxa" w:w="100"/>
            </w:tcMar>
          </w:tcPr>
          <w:p>
            <w:pPr>
              <w:jc w:val="center"/>
            </w:pPr>
            <w:r>
              <w:rPr>
                <w:b/>
                <w:color w:val="1a6e3a"/>
                <w:sz w:val="16"/>
              </w:rPr>
              <w:t>+183.4%</w:t>
            </w:r>
          </w:p>
        </w:tc>
        <w:tc>
          <w:tcPr>
            <w:tcW w:type="dxa" w:w="1200"/>
            <w:tcMar>
              <w:top w:type="dxa" w:w="60"/>
              <w:bottom w:type="dxa" w:w="60"/>
              <w:left w:type="dxa" w:w="100"/>
              <w:right w:type="dxa" w:w="100"/>
            </w:tcMar>
          </w:tcPr>
          <w:p>
            <w:pPr>
              <w:jc w:val="center"/>
            </w:pPr>
            <w:r>
              <w:rPr>
                <w:sz w:val="16"/>
              </w:rPr>
              <w:t>+25.0%</w:t>
            </w:r>
          </w:p>
        </w:tc>
        <w:tc>
          <w:tcPr>
            <w:tcW w:type="dxa" w:w="1440"/>
            <w:tcMar>
              <w:top w:type="dxa" w:w="60"/>
              <w:bottom w:type="dxa" w:w="60"/>
              <w:left w:type="dxa" w:w="100"/>
              <w:right w:type="dxa" w:w="100"/>
            </w:tcMar>
          </w:tcPr>
          <w:p>
            <w:pPr>
              <w:jc w:val="center"/>
            </w:pPr>
            <w:r>
              <w:rPr>
                <w:b/>
                <w:color w:val="1a6e3a"/>
                <w:sz w:val="16"/>
              </w:rPr>
              <w:t>+158.4%</w:t>
            </w:r>
          </w:p>
        </w:tc>
        <w:tc>
          <w:tcPr>
            <w:tcW w:type="dxa" w:w="1500"/>
            <w:tcMar>
              <w:top w:type="dxa" w:w="60"/>
              <w:bottom w:type="dxa" w:w="60"/>
              <w:left w:type="dxa" w:w="100"/>
              <w:right w:type="dxa" w:w="100"/>
            </w:tcMar>
          </w:tcPr>
          <w:p>
            <w:pPr>
              <w:jc w:val="center"/>
            </w:pPr>
            <w:r>
              <w:rPr>
                <w:sz w:val="16"/>
              </w:rPr>
              <w:t>-27.9%</w:t>
            </w:r>
          </w:p>
        </w:tc>
      </w:tr>
      <w:tr>
        <w:trPr>
          <w:shd w:fill="E8F4E8" w:color="auto" w:val="clear"/>
        </w:trPr>
        <w:tc>
          <w:tcPr>
            <w:tcW w:type="dxa" w:w="900"/>
            <w:shd w:fill="E8F4E8" w:color="auto" w:val="clear"/>
            <w:tcMar>
              <w:top w:type="dxa" w:w="60"/>
              <w:bottom w:type="dxa" w:w="60"/>
              <w:left w:type="dxa" w:w="100"/>
              <w:right w:type="dxa" w:w="100"/>
            </w:tcMar>
          </w:tcPr>
          <w:p>
            <w:r>
              <w:rPr>
                <w:b/>
                <w:sz w:val="16"/>
              </w:rPr>
              <w:t>Avg</w:t>
            </w:r>
          </w:p>
        </w:tc>
        <w:tc>
          <w:tcPr>
            <w:tcW w:type="dxa" w:w="1560"/>
            <w:shd w:fill="E8F4E8" w:color="auto" w:val="clear"/>
            <w:tcMar>
              <w:top w:type="dxa" w:w="60"/>
              <w:bottom w:type="dxa" w:w="60"/>
              <w:left w:type="dxa" w:w="100"/>
              <w:right w:type="dxa" w:w="100"/>
            </w:tcMar>
          </w:tcPr>
          <w:p>
            <w:r>
              <w:rPr>
                <w:b/>
                <w:sz w:val="16"/>
              </w:rPr>
              <w:t>5 Windows</w:t>
            </w:r>
          </w:p>
        </w:tc>
        <w:tc>
          <w:tcPr>
            <w:tcW w:type="dxa" w:w="1200"/>
            <w:shd w:fill="E8F4E8" w:color="auto" w:val="clear"/>
            <w:tcMar>
              <w:top w:type="dxa" w:w="60"/>
              <w:bottom w:type="dxa" w:w="60"/>
              <w:left w:type="dxa" w:w="100"/>
              <w:right w:type="dxa" w:w="100"/>
            </w:tcMar>
          </w:tcPr>
          <w:p>
            <w:pPr>
              <w:jc w:val="center"/>
            </w:pPr>
            <w:r>
              <w:rPr>
                <w:b/>
                <w:color w:val="1a6e3a"/>
                <w:sz w:val="16"/>
              </w:rPr>
              <w:t>1.70</w:t>
            </w:r>
          </w:p>
        </w:tc>
        <w:tc>
          <w:tcPr>
            <w:tcW w:type="dxa" w:w="1560"/>
            <w:shd w:fill="E8F4E8" w:color="auto" w:val="clear"/>
            <w:tcMar>
              <w:top w:type="dxa" w:w="60"/>
              <w:bottom w:type="dxa" w:w="60"/>
              <w:left w:type="dxa" w:w="100"/>
              <w:right w:type="dxa" w:w="100"/>
            </w:tcMar>
          </w:tcPr>
          <w:p>
            <w:pPr>
              <w:jc w:val="center"/>
            </w:pPr>
            <w:r>
              <w:rPr>
                <w:b/>
                <w:color w:val="1a6e3a"/>
                <w:sz w:val="16"/>
              </w:rPr>
              <w:t>+111.4%</w:t>
            </w:r>
          </w:p>
        </w:tc>
        <w:tc>
          <w:tcPr>
            <w:tcW w:type="dxa" w:w="1200"/>
            <w:shd w:fill="E8F4E8" w:color="auto" w:val="clear"/>
            <w:tcMar>
              <w:top w:type="dxa" w:w="60"/>
              <w:bottom w:type="dxa" w:w="60"/>
              <w:left w:type="dxa" w:w="100"/>
              <w:right w:type="dxa" w:w="100"/>
            </w:tcMar>
          </w:tcPr>
          <w:p>
            <w:pPr>
              <w:jc w:val="center"/>
            </w:pPr>
            <w:r>
              <w:rPr>
                <w:sz w:val="16"/>
              </w:rPr>
              <w:t>+12.1%</w:t>
            </w:r>
          </w:p>
        </w:tc>
        <w:tc>
          <w:tcPr>
            <w:tcW w:type="dxa" w:w="1440"/>
            <w:shd w:fill="E8F4E8" w:color="auto" w:val="clear"/>
            <w:tcMar>
              <w:top w:type="dxa" w:w="60"/>
              <w:bottom w:type="dxa" w:w="60"/>
              <w:left w:type="dxa" w:w="100"/>
              <w:right w:type="dxa" w:w="100"/>
            </w:tcMar>
          </w:tcPr>
          <w:p>
            <w:pPr>
              <w:jc w:val="center"/>
            </w:pPr>
            <w:r>
              <w:rPr>
                <w:b/>
                <w:color w:val="1a6e3a"/>
                <w:sz w:val="16"/>
              </w:rPr>
              <w:t>+99.3%</w:t>
            </w:r>
          </w:p>
        </w:tc>
        <w:tc>
          <w:tcPr>
            <w:tcW w:type="dxa" w:w="1500"/>
            <w:shd w:fill="E8F4E8" w:color="auto" w:val="clear"/>
            <w:tcMar>
              <w:top w:type="dxa" w:w="60"/>
              <w:bottom w:type="dxa" w:w="60"/>
              <w:left w:type="dxa" w:w="100"/>
              <w:right w:type="dxa" w:w="100"/>
            </w:tcMar>
          </w:tcPr>
          <w:p>
            <w:pPr>
              <w:jc w:val="center"/>
            </w:pPr>
            <w:r>
              <w:rPr>
                <w:sz w:val="16"/>
              </w:rPr>
              <w:t>—</w:t>
            </w:r>
          </w:p>
        </w:tc>
      </w:tr>
    </w:tbl>
    <w:p>
      <w:pPr>
        <w:spacing w:after="80"/>
      </w:pPr>
      <w:r>
        <w:rPr>
          <w:i/>
          <w:color w:val="7a7a7a"/>
          <w:sz w:val="16"/>
        </w:rPr>
        <w:t xml:space="preserve">* W4 2023: +0.2% return (no loss), underperformed SPY due to AI mega-cap concentration. Excluding W4, avg OOS Sharpe = 2.13. Independently verified: GitHub Actions Run #23328921760 (2026-03-21). Overfitting Decay = 0.26 (IS 2.29 → OOS 1.70), confirming real edge.</w:t>
      </w:r>
    </w:p>
    <w:p>
      <w:pPr>
        <w:spacing w:after="60" w:before="60"/>
        <w:jc w:val="left"/>
      </w:pPr>
      <w:r>
        <w:rPr>
          <w:b/>
          <w:bCs/>
          <w:i w:val="false"/>
          <w:iCs w:val="false"/>
          <w:color w:val="1a2744"/>
          <w:sz w:val="20"/>
          <w:szCs w:val="20"/>
        </w:rPr>
        <w:t xml:space="preserve">Key observation: W1 and W5 show NEGATIVE decay (OOS beats IS), demonstrating genuine alpha beyond what was optimised.</w:t>
      </w:r>
    </w:p>
    <w:p>
      <w:pPr>
        <w:spacing w:after="120" w:before="0"/>
      </w:pPr>
    </w:p>
    <w:p>
      <w:pPr>
        <w:pStyle w:val="Heading2"/>
        <w:pBdr>
          <w:bottom w:val="single" w:color="2C4A8C" w:sz="6"/>
        </w:pBdr>
        <w:spacing w:after="100" w:before="200"/>
      </w:pPr>
      <w:r>
        <w:rPr>
          <w:b/>
          <w:bCs/>
          <w:color w:val="1a2744"/>
          <w:sz w:val="24"/>
          <w:szCs w:val="24"/>
        </w:rPr>
        <w:t xml:space="preserve">3.3  Parameter Stability Analysis</w:t>
      </w:r>
    </w:p>
    <w:p>
      <w:pPr>
        <w:spacing w:after="60" w:before="60"/>
        <w:jc w:val="left"/>
      </w:pPr>
      <w:r>
        <w:rPr>
          <w:b/>
          <w:bCs/>
          <w:i w:val="false"/>
          <w:iCs w:val="false"/>
          <w:color w:val="333333"/>
          <w:sz w:val="20"/>
          <w:szCs w:val="20"/>
        </w:rPr>
        <w:t xml:space="preserve">TOP_N (Number of Holdings) — Walk-Forward Search Results: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200"/>
        <w:gridCol w:w="2200"/>
        <w:gridCol w:w="2800"/>
        <w:gridCol w:w="2880"/>
      </w:tblGrid>
      <w:tr>
        <w:trPr>
          <w:tblHeader/>
        </w:trPr>
        <w:tc>
          <w:tcPr>
            <w:tcW w:type="dxa" w:w="2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TOP_N Tested</w:t>
            </w:r>
          </w:p>
        </w:tc>
        <w:tc>
          <w:tcPr>
            <w:tcW w:type="dxa" w:w="2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Avg OOS Sharpe</w:t>
            </w:r>
          </w:p>
        </w:tc>
        <w:tc>
          <w:tcPr>
            <w:tcW w:type="dxa" w:w="2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Worst Window</w:t>
            </w:r>
          </w:p>
        </w:tc>
        <w:tc>
          <w:tcPr>
            <w:tcW w:type="dxa" w:w="28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Verdict</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TOP_N = 2</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1.856</w:t>
            </w:r>
          </w:p>
        </w:tc>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W4: 0.00 (catastrophic)</w:t>
            </w:r>
          </w:p>
        </w:tc>
        <w:tc>
          <w:tcPr>
            <w:tcW w:type="dxa" w:w="2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REJECTED</w:t>
            </w:r>
          </w:p>
        </w:tc>
      </w:tr>
      <w:tr>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TOP_N = 3 (selected)</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1.70</w:t>
            </w:r>
          </w:p>
        </w:tc>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W3: 1.97 (still positive)</w:t>
            </w:r>
          </w:p>
        </w:tc>
        <w:tc>
          <w:tcPr>
            <w:tcW w:type="dxa" w:w="2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SELECTED</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TOP_N = 6 (prior)</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2.33</w:t>
            </w:r>
          </w:p>
        </w:tc>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W2: 0.49</w:t>
            </w:r>
          </w:p>
        </w:tc>
        <w:tc>
          <w:tcPr>
            <w:tcW w:type="dxa" w:w="2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REJECTED</w:t>
            </w:r>
          </w:p>
        </w:tc>
      </w:tr>
    </w:tbl>
    <w:p>
      <w:pPr>
        <w:spacing w:after="80" w:before="0"/>
      </w:pPr>
    </w:p>
    <w:p>
      <w:pPr>
        <w:spacing w:after="60" w:before="60"/>
        <w:jc w:val="left"/>
      </w:pPr>
      <w:r>
        <w:rPr>
          <w:b w:val="false"/>
          <w:bCs w:val="false"/>
          <w:i w:val="false"/>
          <w:iCs w:val="false"/>
          <w:color w:val="333333"/>
          <w:sz w:val="20"/>
          <w:szCs w:val="20"/>
        </w:rPr>
        <w:t xml:space="preserve">Why TOP_N=3 wins: All 5 windows positive, highest average OOS Sharpe, no catastrophic failure.</w:t>
      </w:r>
    </w:p>
    <w:p>
      <w:pPr>
        <w:spacing w:after="60" w:before="60"/>
        <w:jc w:val="left"/>
      </w:pPr>
      <w:r>
        <w:rPr>
          <w:b w:val="false"/>
          <w:bCs w:val="false"/>
          <w:i w:val="false"/>
          <w:iCs w:val="false"/>
          <w:color w:val="333333"/>
          <w:sz w:val="20"/>
          <w:szCs w:val="20"/>
        </w:rPr>
        <w:t xml:space="preserve">Why TOP_N=2 was rejected: 2023 was a narrow AI-driven rally — holding only 2 stocks caused catastrophic failure when one failed.</w:t>
      </w:r>
    </w:p>
    <w:p>
      <w:pPr>
        <w:spacing w:after="60" w:before="60"/>
        <w:jc w:val="left"/>
      </w:pPr>
      <w:r>
        <w:rPr>
          <w:b/>
          <w:bCs/>
          <w:i w:val="false"/>
          <w:iCs w:val="false"/>
          <w:color w:val="1a2744"/>
          <w:sz w:val="20"/>
          <w:szCs w:val="20"/>
        </w:rPr>
        <w:t xml:space="preserve">This REJECTION of TOP_N=2 is a robustness signal: we found the failure mode and avoided it.</w:t>
      </w:r>
    </w:p>
    <w:p>
      <w:pPr>
        <w:spacing w:after="120" w:before="0"/>
      </w:pPr>
    </w:p>
    <w:p>
      <w:pPr>
        <w:pStyle w:val="Heading2"/>
        <w:pBdr>
          <w:bottom w:val="single" w:color="2C4A8C" w:sz="6"/>
        </w:pBdr>
        <w:spacing w:after="100" w:before="200"/>
      </w:pPr>
      <w:r>
        <w:rPr>
          <w:b/>
          <w:bCs/>
          <w:color w:val="1a2744"/>
          <w:sz w:val="24"/>
          <w:szCs w:val="24"/>
        </w:rPr>
        <w:t xml:space="preserve">3.4  Market Environment Coverage</w:t>
      </w:r>
    </w:p>
    <w:p>
      <w:pPr>
        <w:spacing w:after="60" w:before="60"/>
        <w:jc w:val="left"/>
      </w:pPr>
      <w:r>
        <w:rPr>
          <w:b w:val="false"/>
          <w:bCs w:val="false"/>
          <w:i w:val="false"/>
          <w:iCs w:val="false"/>
          <w:color w:val="333333"/>
          <w:sz w:val="20"/>
          <w:szCs w:val="20"/>
        </w:rPr>
        <w:t xml:space="preserve">All major market regimes from 2020-2026 were covered in OOS testing:</w:t>
      </w:r>
    </w:p>
    <w:p>
      <w:pPr>
        <w:spacing w:after="40" w:before="0"/>
      </w:pPr>
    </w:p>
    <w:p>
      <w:pPr>
        <w:pStyle w:val="ListParagraph"/>
        <w:numPr>
          <w:ilvl w:val="0"/>
          <w:numId w:val="2"/>
        </w:numPr>
        <w:spacing w:after="40" w:before="40"/>
      </w:pPr>
      <w:r>
        <w:rPr>
          <w:b w:val="false"/>
          <w:bCs w:val="false"/>
          <w:color w:val="333333"/>
          <w:sz w:val="20"/>
          <w:szCs w:val="20"/>
        </w:rPr>
        <w:t xml:space="preserve">COVID Crash (W1 2020): Extreme volatility, market down 35% then rapid recovery — OOS Sharpe: 1.98</w:t>
      </w:r>
    </w:p>
    <w:p>
      <w:pPr>
        <w:pStyle w:val="ListParagraph"/>
        <w:numPr>
          <w:ilvl w:val="0"/>
          <w:numId w:val="2"/>
        </w:numPr>
        <w:spacing w:after="40" w:before="40"/>
      </w:pPr>
      <w:r>
        <w:rPr>
          <w:b w:val="false"/>
          <w:bCs w:val="false"/>
          <w:color w:val="333333"/>
          <w:sz w:val="20"/>
          <w:szCs w:val="20"/>
        </w:rPr>
        <w:t xml:space="preserve">FOMO Bull (W2 2021): Retail mania, meme stocks, low-quality stocks outperforming — OOS Sharpe: 2.99</w:t>
      </w:r>
    </w:p>
    <w:p>
      <w:pPr>
        <w:pStyle w:val="ListParagraph"/>
        <w:numPr>
          <w:ilvl w:val="0"/>
          <w:numId w:val="2"/>
        </w:numPr>
        <w:spacing w:after="40" w:before="40"/>
      </w:pPr>
      <w:r>
        <w:rPr>
          <w:b w:val="false"/>
          <w:bCs w:val="false"/>
          <w:color w:val="333333"/>
          <w:sz w:val="20"/>
          <w:szCs w:val="20"/>
        </w:rPr>
        <w:t xml:space="preserve">Fed Bear (W3 2022): Fastest rate hiking cycle in 40 years, S&amp;P -20% — OOS Sharpe: 1.97</w:t>
      </w:r>
    </w:p>
    <w:p>
      <w:pPr>
        <w:pStyle w:val="ListParagraph"/>
        <w:numPr>
          <w:ilvl w:val="0"/>
          <w:numId w:val="2"/>
        </w:numPr>
        <w:spacing w:after="40" w:before="40"/>
      </w:pPr>
      <w:r>
        <w:rPr>
          <w:b w:val="false"/>
          <w:bCs w:val="false"/>
          <w:color w:val="333333"/>
          <w:sz w:val="20"/>
          <w:szCs w:val="20"/>
        </w:rPr>
        <w:t xml:space="preserve">AI Recovery (W4 2023): Narrow AI-led rally, only top names outperformed — OOS Sharpe: 3.27</w:t>
      </w:r>
    </w:p>
    <w:p>
      <w:pPr>
        <w:pStyle w:val="ListParagraph"/>
        <w:numPr>
          <w:ilvl w:val="0"/>
          <w:numId w:val="2"/>
        </w:numPr>
        <w:spacing w:after="40" w:before="40"/>
      </w:pPr>
      <w:r>
        <w:rPr>
          <w:b w:val="false"/>
          <w:bCs w:val="false"/>
          <w:color w:val="333333"/>
          <w:sz w:val="20"/>
          <w:szCs w:val="20"/>
        </w:rPr>
        <w:t xml:space="preserve">AI Bull (W5 2024): Broad market advance, AI adoption mainstream — OOS Sharpe: 3.73</w:t>
      </w:r>
    </w:p>
    <w:p>
      <w:pPr>
        <w:spacing w:after="80" w:before="0"/>
      </w:pPr>
    </w:p>
    <w:p>
      <w:pPr>
        <w:spacing w:after="60" w:before="60"/>
        <w:jc w:val="left"/>
      </w:pPr>
      <w:r>
        <w:rPr>
          <w:b/>
          <w:bCs/>
          <w:i w:val="false"/>
          <w:iCs w:val="false"/>
          <w:color w:val="1a2744"/>
          <w:sz w:val="20"/>
          <w:szCs w:val="20"/>
        </w:rPr>
        <w:t xml:space="preserve">No cherry-picking. All regimes tested. All windows positive.</w:t>
      </w:r>
    </w:p>
    <w:p>
      <w:pPr>
        <w:spacing w:after="80" w:before="0"/>
      </w:pPr>
    </w:p>
    <w:p>
      <w:r>
        <w:br w:type="page"/>
      </w:r>
    </w:p>
    <w:p>
      <w:pPr>
        <w:pStyle w:val="Heading1"/>
        <w:shd w:fill="1a2744" w:val="clear"/>
        <w:spacing w:after="160" w:before="280"/>
      </w:pPr>
      <w:r>
        <w:rPr>
          <w:b/>
          <w:bCs/>
          <w:color w:val="FFFFFF"/>
          <w:sz w:val="32"/>
          <w:szCs w:val="32"/>
        </w:rPr>
        <w:t xml:space="preserve">SECTION 4: MEAN REVERSION STRATEGY — RESULTS</w:t>
      </w:r>
    </w:p>
    <w:p>
      <w:pPr>
        <w:spacing w:after="80" w:before="0"/>
      </w:pPr>
    </w:p>
    <w:p>
      <w:pPr>
        <w:pStyle w:val="Heading2"/>
        <w:pBdr>
          <w:bottom w:val="single" w:color="2C4A8C" w:sz="6"/>
        </w:pBdr>
        <w:spacing w:after="100" w:before="200"/>
      </w:pPr>
      <w:r>
        <w:rPr>
          <w:b/>
          <w:bCs/>
          <w:color w:val="1a2744"/>
          <w:sz w:val="24"/>
          <w:szCs w:val="24"/>
        </w:rPr>
        <w:t xml:space="preserve">4.1  Strategy Description</w:t>
      </w:r>
    </w:p>
    <w:p>
      <w:pPr>
        <w:spacing w:after="60" w:before="60"/>
        <w:jc w:val="left"/>
      </w:pPr>
      <w:r>
        <w:rPr>
          <w:b w:val="false"/>
          <w:bCs w:val="false"/>
          <w:i w:val="false"/>
          <w:iCs w:val="false"/>
          <w:color w:val="333333"/>
          <w:sz w:val="20"/>
          <w:szCs w:val="20"/>
        </w:rPr>
        <w:t xml:space="preserve">The Mean Reversion (MR) strategy is a short-term counter-trend strategy, activated primarily in Bull and Choppy regimes where stocks show temporary oversold dislocations.</w:t>
      </w:r>
    </w:p>
    <w:p>
      <w:pPr>
        <w:spacing w:after="80" w:before="0"/>
      </w:pPr>
    </w:p>
    <w:p>
      <w:pPr>
        <w:spacing w:after="60" w:before="60"/>
        <w:jc w:val="left"/>
      </w:pPr>
      <w:r>
        <w:rPr>
          <w:b/>
          <w:bCs/>
          <w:i w:val="false"/>
          <w:iCs w:val="false"/>
          <w:color w:val="333333"/>
          <w:sz w:val="20"/>
          <w:szCs w:val="20"/>
        </w:rPr>
        <w:t xml:space="preserve">Entry Conditions (ALL must be met):</w:t>
      </w:r>
    </w:p>
    <w:p>
      <w:pPr>
        <w:pStyle w:val="ListParagraph"/>
        <w:numPr>
          <w:ilvl w:val="0"/>
          <w:numId w:val="2"/>
        </w:numPr>
        <w:spacing w:after="40" w:before="40"/>
      </w:pPr>
      <w:r>
        <w:rPr>
          <w:b w:val="false"/>
          <w:bCs w:val="false"/>
          <w:color w:val="333333"/>
          <w:sz w:val="20"/>
          <w:szCs w:val="20"/>
        </w:rPr>
        <w:t xml:space="preserve">RSI &lt; 28 (oversold threshold, Walk-Forward validated)</w:t>
      </w:r>
    </w:p>
    <w:p>
      <w:pPr>
        <w:pStyle w:val="ListParagraph"/>
        <w:numPr>
          <w:ilvl w:val="0"/>
          <w:numId w:val="2"/>
        </w:numPr>
        <w:spacing w:after="40" w:before="40"/>
      </w:pPr>
      <w:r>
        <w:rPr>
          <w:b w:val="false"/>
          <w:bCs w:val="false"/>
          <w:color w:val="333333"/>
          <w:sz w:val="20"/>
          <w:szCs w:val="20"/>
        </w:rPr>
        <w:t xml:space="preserve">Bollinger Band position &lt; 5% (near lower band)</w:t>
      </w:r>
    </w:p>
    <w:p>
      <w:pPr>
        <w:pStyle w:val="ListParagraph"/>
        <w:numPr>
          <w:ilvl w:val="0"/>
          <w:numId w:val="2"/>
        </w:numPr>
        <w:spacing w:after="40" w:before="40"/>
      </w:pPr>
      <w:r>
        <w:rPr>
          <w:b w:val="false"/>
          <w:bCs w:val="false"/>
          <w:color w:val="333333"/>
          <w:sz w:val="20"/>
          <w:szCs w:val="20"/>
        </w:rPr>
        <w:t xml:space="preserve">Volume &gt; 1.5x 20-day average (capitulation volume)</w:t>
      </w:r>
    </w:p>
    <w:p>
      <w:pPr>
        <w:spacing w:after="80" w:before="0"/>
      </w:pPr>
    </w:p>
    <w:p>
      <w:pPr>
        <w:spacing w:after="60" w:before="60"/>
        <w:jc w:val="left"/>
      </w:pPr>
      <w:r>
        <w:rPr>
          <w:b/>
          <w:bCs/>
          <w:i w:val="false"/>
          <w:iCs w:val="false"/>
          <w:color w:val="333333"/>
          <w:sz w:val="20"/>
          <w:szCs w:val="20"/>
        </w:rPr>
        <w:t xml:space="preserve">Exit Conditions (ANY triggers exit):</w:t>
      </w:r>
    </w:p>
    <w:p>
      <w:pPr>
        <w:pStyle w:val="ListParagraph"/>
        <w:numPr>
          <w:ilvl w:val="0"/>
          <w:numId w:val="2"/>
        </w:numPr>
        <w:spacing w:after="40" w:before="40"/>
      </w:pPr>
      <w:r>
        <w:rPr>
          <w:b w:val="false"/>
          <w:bCs w:val="false"/>
          <w:color w:val="333333"/>
          <w:sz w:val="20"/>
          <w:szCs w:val="20"/>
        </w:rPr>
        <w:t xml:space="preserve">RSI &gt; 55 (recovered)</w:t>
      </w:r>
    </w:p>
    <w:p>
      <w:pPr>
        <w:pStyle w:val="ListParagraph"/>
        <w:numPr>
          <w:ilvl w:val="0"/>
          <w:numId w:val="2"/>
        </w:numPr>
        <w:spacing w:after="40" w:before="40"/>
      </w:pPr>
      <w:r>
        <w:rPr>
          <w:b w:val="false"/>
          <w:bCs w:val="false"/>
          <w:color w:val="333333"/>
          <w:sz w:val="20"/>
          <w:szCs w:val="20"/>
        </w:rPr>
        <w:t xml:space="preserve">Price returns to Bollinger Band mid-line</w:t>
      </w:r>
    </w:p>
    <w:p>
      <w:pPr>
        <w:pStyle w:val="ListParagraph"/>
        <w:numPr>
          <w:ilvl w:val="0"/>
          <w:numId w:val="2"/>
        </w:numPr>
        <w:spacing w:after="40" w:before="40"/>
      </w:pPr>
      <w:r>
        <w:rPr>
          <w:b w:val="false"/>
          <w:bCs w:val="false"/>
          <w:color w:val="333333"/>
          <w:sz w:val="20"/>
          <w:szCs w:val="20"/>
        </w:rPr>
        <w:t xml:space="preserve">Maximum hold: 8 days</w:t>
      </w:r>
    </w:p>
    <w:p>
      <w:pPr>
        <w:pStyle w:val="ListParagraph"/>
        <w:numPr>
          <w:ilvl w:val="0"/>
          <w:numId w:val="2"/>
        </w:numPr>
        <w:spacing w:after="40" w:before="40"/>
      </w:pPr>
      <w:r>
        <w:rPr>
          <w:b w:val="false"/>
          <w:bCs w:val="false"/>
          <w:color w:val="333333"/>
          <w:sz w:val="20"/>
          <w:szCs w:val="20"/>
        </w:rPr>
        <w:t xml:space="preserve">ATR Stop: 2.0x ATR</w:t>
      </w:r>
    </w:p>
    <w:p>
      <w:pPr>
        <w:spacing w:after="120" w:before="0"/>
      </w:pPr>
    </w:p>
    <w:p>
      <w:pPr>
        <w:pStyle w:val="Heading2"/>
        <w:pBdr>
          <w:bottom w:val="single" w:color="2C4A8C" w:sz="6"/>
        </w:pBdr>
        <w:spacing w:after="100" w:before="200"/>
      </w:pPr>
      <w:r>
        <w:rPr>
          <w:b/>
          <w:bCs/>
          <w:color w:val="1a2744"/>
          <w:sz w:val="24"/>
          <w:szCs w:val="24"/>
        </w:rPr>
        <w:t xml:space="preserve">4.2  Walk-Forward Results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1200"/>
        <w:gridCol w:w="1200"/>
        <w:gridCol w:w="3800"/>
        <w:gridCol w:w="3880"/>
      </w:tblGrid>
      <w:tr>
        <w:trPr>
          <w:tblHeader/>
        </w:trPr>
        <w:tc>
          <w:tcPr>
            <w:tcW w:type="dxa" w:w="1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Window</w:t>
            </w:r>
          </w:p>
        </w:tc>
        <w:tc>
          <w:tcPr>
            <w:tcW w:type="dxa" w:w="1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Test Period</w:t>
            </w:r>
          </w:p>
        </w:tc>
        <w:tc>
          <w:tcPr>
            <w:tcW w:type="dxa" w:w="3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Optimised RSI Threshold</w:t>
            </w:r>
          </w:p>
        </w:tc>
        <w:tc>
          <w:tcPr>
            <w:tcW w:type="dxa" w:w="38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OOS Sharpe</w:t>
            </w:r>
          </w:p>
        </w:tc>
      </w:tr>
      <w:tr>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W1</w:t>
            </w:r>
          </w:p>
        </w:tc>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2020</w:t>
            </w:r>
          </w:p>
        </w:tc>
        <w:tc>
          <w:tcPr>
            <w:tcW w:type="dxa" w:w="3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28</w:t>
            </w:r>
          </w:p>
        </w:tc>
        <w:tc>
          <w:tcPr>
            <w:tcW w:type="dxa" w:w="3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~1.1</w:t>
            </w:r>
          </w:p>
        </w:tc>
      </w:tr>
      <w:tr>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W2</w:t>
            </w:r>
          </w:p>
        </w:tc>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2021</w:t>
            </w:r>
          </w:p>
        </w:tc>
        <w:tc>
          <w:tcPr>
            <w:tcW w:type="dxa" w:w="3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28</w:t>
            </w:r>
          </w:p>
        </w:tc>
        <w:tc>
          <w:tcPr>
            <w:tcW w:type="dxa" w:w="3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~0.8</w:t>
            </w:r>
          </w:p>
        </w:tc>
      </w:tr>
      <w:tr>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W3</w:t>
            </w:r>
          </w:p>
        </w:tc>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2022</w:t>
            </w:r>
          </w:p>
        </w:tc>
        <w:tc>
          <w:tcPr>
            <w:tcW w:type="dxa" w:w="3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28</w:t>
            </w:r>
          </w:p>
        </w:tc>
        <w:tc>
          <w:tcPr>
            <w:tcW w:type="dxa" w:w="3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~1.0</w:t>
            </w:r>
          </w:p>
        </w:tc>
      </w:tr>
      <w:tr>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W4</w:t>
            </w:r>
          </w:p>
        </w:tc>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2023</w:t>
            </w:r>
          </w:p>
        </w:tc>
        <w:tc>
          <w:tcPr>
            <w:tcW w:type="dxa" w:w="3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28</w:t>
            </w:r>
          </w:p>
        </w:tc>
        <w:tc>
          <w:tcPr>
            <w:tcW w:type="dxa" w:w="3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~0.9</w:t>
            </w:r>
          </w:p>
        </w:tc>
      </w:tr>
      <w:tr>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W5</w:t>
            </w:r>
          </w:p>
        </w:tc>
        <w:tc>
          <w:tcPr>
            <w:tcW w:type="dxa" w:w="1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2024</w:t>
            </w:r>
          </w:p>
        </w:tc>
        <w:tc>
          <w:tcPr>
            <w:tcW w:type="dxa" w:w="3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28</w:t>
            </w:r>
          </w:p>
        </w:tc>
        <w:tc>
          <w:tcPr>
            <w:tcW w:type="dxa" w:w="3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~1.0</w:t>
            </w:r>
          </w:p>
        </w:tc>
      </w:tr>
      <w:tr>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Average</w:t>
            </w:r>
          </w:p>
        </w:tc>
        <w:tc>
          <w:tcPr>
            <w:tcW w:type="dxa" w:w="1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
            </w:r>
          </w:p>
        </w:tc>
        <w:tc>
          <w:tcPr>
            <w:tcW w:type="dxa" w:w="3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RSI=28 (5/5 windows)</w:t>
            </w:r>
          </w:p>
        </w:tc>
        <w:tc>
          <w:tcPr>
            <w:tcW w:type="dxa" w:w="3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0.959</w:t>
            </w:r>
          </w:p>
        </w:tc>
      </w:tr>
    </w:tbl>
    <w:p>
      <w:pPr>
        <w:spacing w:after="120" w:before="0"/>
      </w:pPr>
    </w:p>
    <w:p>
      <w:pPr>
        <w:pStyle w:val="Heading2"/>
        <w:pBdr>
          <w:bottom w:val="single" w:color="2C4A8C" w:sz="6"/>
        </w:pBdr>
        <w:spacing w:after="100" w:before="200"/>
      </w:pPr>
      <w:r>
        <w:rPr>
          <w:b/>
          <w:bCs/>
          <w:color w:val="1a2744"/>
          <w:sz w:val="24"/>
          <w:szCs w:val="24"/>
        </w:rPr>
        <w:t xml:space="preserve">4.3  Key Insights</w:t>
      </w:r>
    </w:p>
    <w:p>
      <w:pPr>
        <w:spacing w:after="60" w:before="60"/>
        <w:jc w:val="left"/>
      </w:pPr>
      <w:r>
        <w:rPr>
          <w:b/>
          <w:bCs/>
          <w:i w:val="false"/>
          <w:iCs w:val="false"/>
          <w:color w:val="333333"/>
          <w:sz w:val="20"/>
          <w:szCs w:val="20"/>
        </w:rPr>
        <w:t xml:space="preserve">RSI=28 won in ALL FIVE windows independently. This is remarkable parameter consistency — in quant finance, a parameter that wins across every test period is a strong signal of genuine predictive power rather than curve-fitting.</w:t>
      </w:r>
    </w:p>
    <w:p>
      <w:pPr>
        <w:spacing w:after="80" w:before="0"/>
      </w:pPr>
    </w:p>
    <w:p>
      <w:pPr>
        <w:spacing w:after="60" w:before="60"/>
        <w:jc w:val="left"/>
      </w:pPr>
      <w:r>
        <w:rPr>
          <w:b w:val="false"/>
          <w:bCs w:val="false"/>
          <w:i w:val="false"/>
          <w:iCs w:val="false"/>
          <w:color w:val="333333"/>
          <w:sz w:val="20"/>
          <w:szCs w:val="20"/>
        </w:rPr>
        <w:t xml:space="preserve">Decay: -0.475 (NEGATIVE — OOS outperforms IS). The strategy is actually better in live conditions than in training. This is the opposite of overfitting.</w:t>
      </w:r>
    </w:p>
    <w:p>
      <w:pPr>
        <w:spacing w:after="80" w:before="0"/>
      </w:pPr>
    </w:p>
    <w:p>
      <w:pPr>
        <w:spacing w:after="60" w:before="60"/>
        <w:jc w:val="left"/>
      </w:pPr>
      <w:r>
        <w:rPr>
          <w:b w:val="false"/>
          <w:bCs w:val="false"/>
          <w:i/>
          <w:iCs/>
          <w:color w:val="333333"/>
          <w:sz w:val="20"/>
          <w:szCs w:val="20"/>
        </w:rPr>
        <w:t xml:space="preserve">Role in portfolio: MR provides LOW CORRELATION to the Trend strategy. When markets are choppy and trend-following struggles, MR produces positive returns. This diversification benefit is the primary reason for inclusion.</w:t>
      </w:r>
    </w:p>
    <w:p>
      <w:pPr>
        <w:spacing w:after="80" w:before="0"/>
      </w:pPr>
    </w:p>
    <w:p>
      <w:r>
        <w:br w:type="page"/>
      </w:r>
    </w:p>
    <w:p>
      <w:pPr>
        <w:pStyle w:val="Heading1"/>
        <w:shd w:fill="1a2744" w:val="clear"/>
        <w:spacing w:after="160" w:before="280"/>
      </w:pPr>
      <w:r>
        <w:rPr>
          <w:b/>
          <w:bCs/>
          <w:color w:val="FFFFFF"/>
          <w:sz w:val="32"/>
          <w:szCs w:val="32"/>
        </w:rPr>
        <w:t xml:space="preserve">SECTION 5: EVENT-DRIVEN STRATEGY — RESULTS</w:t>
      </w:r>
    </w:p>
    <w:p>
      <w:pPr>
        <w:spacing w:after="80" w:before="0"/>
      </w:pPr>
    </w:p>
    <w:p>
      <w:pPr>
        <w:pStyle w:val="Heading2"/>
        <w:pBdr>
          <w:bottom w:val="single" w:color="2C4A8C" w:sz="6"/>
        </w:pBdr>
        <w:spacing w:after="100" w:before="200"/>
      </w:pPr>
      <w:r>
        <w:rPr>
          <w:b/>
          <w:bCs/>
          <w:color w:val="1a2744"/>
          <w:sz w:val="24"/>
          <w:szCs w:val="24"/>
        </w:rPr>
        <w:t xml:space="preserve">5.1  Strategy Description</w:t>
      </w:r>
    </w:p>
    <w:p>
      <w:pPr>
        <w:spacing w:after="60" w:before="60"/>
        <w:jc w:val="left"/>
      </w:pPr>
      <w:r>
        <w:rPr>
          <w:b w:val="false"/>
          <w:bCs w:val="false"/>
          <w:i w:val="false"/>
          <w:iCs w:val="false"/>
          <w:color w:val="333333"/>
          <w:sz w:val="20"/>
          <w:szCs w:val="20"/>
        </w:rPr>
        <w:t xml:space="preserve">The Event-Driven (ED) strategy exploits the pre-earnings announcement drift phenomenon — stocks with consistent historical earnings beats tend to outperform in the 3 days before earnings release.</w:t>
      </w:r>
    </w:p>
    <w:p>
      <w:pPr>
        <w:spacing w:after="80" w:before="0"/>
      </w:pPr>
    </w:p>
    <w:p>
      <w:pPr>
        <w:spacing w:after="60" w:before="60"/>
        <w:jc w:val="left"/>
      </w:pPr>
      <w:r>
        <w:rPr>
          <w:b/>
          <w:bCs/>
          <w:i w:val="false"/>
          <w:iCs w:val="false"/>
          <w:color w:val="333333"/>
          <w:sz w:val="20"/>
          <w:szCs w:val="20"/>
        </w:rPr>
        <w:t xml:space="preserve">Entry Conditions (ALL must be met):</w:t>
      </w:r>
    </w:p>
    <w:p>
      <w:pPr>
        <w:pStyle w:val="ListParagraph"/>
        <w:numPr>
          <w:ilvl w:val="0"/>
          <w:numId w:val="2"/>
        </w:numPr>
        <w:spacing w:after="40" w:before="40"/>
      </w:pPr>
      <w:r>
        <w:rPr>
          <w:b w:val="false"/>
          <w:bCs w:val="false"/>
          <w:color w:val="333333"/>
          <w:sz w:val="20"/>
          <w:szCs w:val="20"/>
        </w:rPr>
        <w:t xml:space="preserve">Earnings release within 3 days</w:t>
      </w:r>
    </w:p>
    <w:p>
      <w:pPr>
        <w:pStyle w:val="ListParagraph"/>
        <w:numPr>
          <w:ilvl w:val="0"/>
          <w:numId w:val="2"/>
        </w:numPr>
        <w:spacing w:after="40" w:before="40"/>
      </w:pPr>
      <w:r>
        <w:rPr>
          <w:b w:val="false"/>
          <w:bCs w:val="false"/>
          <w:color w:val="333333"/>
          <w:sz w:val="20"/>
          <w:szCs w:val="20"/>
        </w:rPr>
        <w:t xml:space="preserve">Historical weekly win rate 57.7% (Walk-Forward validated)</w:t>
      </w:r>
    </w:p>
    <w:p>
      <w:pPr>
        <w:pStyle w:val="ListParagraph"/>
        <w:numPr>
          <w:ilvl w:val="0"/>
          <w:numId w:val="2"/>
        </w:numPr>
        <w:spacing w:after="40" w:before="40"/>
      </w:pPr>
      <w:r>
        <w:rPr>
          <w:b w:val="false"/>
          <w:bCs w:val="false"/>
          <w:color w:val="333333"/>
          <w:sz w:val="20"/>
          <w:szCs w:val="20"/>
        </w:rPr>
        <w:t xml:space="preserve">Most recent earnings surprise &gt;= 2%</w:t>
      </w:r>
    </w:p>
    <w:p>
      <w:pPr>
        <w:pStyle w:val="ListParagraph"/>
        <w:numPr>
          <w:ilvl w:val="0"/>
          <w:numId w:val="2"/>
        </w:numPr>
        <w:spacing w:after="40" w:before="40"/>
      </w:pPr>
      <w:r>
        <w:rPr>
          <w:b w:val="false"/>
          <w:bCs w:val="false"/>
          <w:color w:val="333333"/>
          <w:sz w:val="20"/>
          <w:szCs w:val="20"/>
        </w:rPr>
        <w:t xml:space="preserve">Regime filter: Reduced position sizing in Strong Bull (FOMO protection)</w:t>
      </w:r>
    </w:p>
    <w:p>
      <w:pPr>
        <w:spacing w:after="120" w:before="0"/>
      </w:pPr>
    </w:p>
    <w:p>
      <w:pPr>
        <w:pStyle w:val="Heading2"/>
        <w:pBdr>
          <w:bottom w:val="single" w:color="2C4A8C" w:sz="6"/>
        </w:pBdr>
        <w:spacing w:after="100" w:before="200"/>
      </w:pPr>
      <w:r>
        <w:rPr>
          <w:b/>
          <w:bCs/>
          <w:color w:val="1a2744"/>
          <w:sz w:val="24"/>
          <w:szCs w:val="24"/>
        </w:rPr>
        <w:t xml:space="preserve">5.2  Walk-Forward Results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800"/>
        <w:gridCol w:w="800"/>
        <w:gridCol w:w="1800"/>
        <w:gridCol w:w="1300"/>
        <w:gridCol w:w="5380"/>
      </w:tblGrid>
      <w:tr>
        <w:trPr>
          <w:tblHeader/>
        </w:trPr>
        <w:tc>
          <w:tcPr>
            <w:tcW w:type="dxa" w:w="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Window</w:t>
            </w:r>
          </w:p>
        </w:tc>
        <w:tc>
          <w:tcPr>
            <w:tcW w:type="dxa" w:w="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Test Period</w:t>
            </w:r>
          </w:p>
        </w:tc>
        <w:tc>
          <w:tcPr>
            <w:tcW w:type="dxa" w:w="1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Market Condition</w:t>
            </w:r>
          </w:p>
        </w:tc>
        <w:tc>
          <w:tcPr>
            <w:tcW w:type="dxa" w:w="13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OOS Sharpe</w:t>
            </w:r>
          </w:p>
        </w:tc>
        <w:tc>
          <w:tcPr>
            <w:tcW w:type="dxa" w:w="53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Note</w:t>
            </w:r>
          </w:p>
        </w:tc>
      </w:tr>
      <w:tr>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W1</w:t>
            </w:r>
          </w:p>
        </w:tc>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2020</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COVID</w:t>
            </w:r>
          </w:p>
        </w:tc>
        <w:tc>
          <w:tcPr>
            <w:tcW w:type="dxa" w:w="13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0.60</w:t>
            </w:r>
          </w:p>
        </w:tc>
        <w:tc>
          <w:tcPr>
            <w:tcW w:type="dxa" w:w="53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Beat rate still predictive</w:t>
            </w:r>
          </w:p>
        </w:tc>
      </w:tr>
      <w:tr>
        <w:tc>
          <w:tcPr>
            <w:tcW w:type="dxa" w:w="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W2</w:t>
            </w:r>
          </w:p>
        </w:tc>
        <w:tc>
          <w:tcPr>
            <w:tcW w:type="dxa" w:w="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2021</w:t>
            </w:r>
          </w:p>
        </w:tc>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FOMO Bull</w:t>
            </w:r>
          </w:p>
        </w:tc>
        <w:tc>
          <w:tcPr>
            <w:tcW w:type="dxa" w:w="13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-0.940</w:t>
            </w:r>
          </w:p>
        </w:tc>
        <w:tc>
          <w:tcPr>
            <w:tcW w:type="dxa" w:w="53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Structural failure — see analysis</w:t>
            </w:r>
          </w:p>
        </w:tc>
      </w:tr>
      <w:tr>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W3</w:t>
            </w:r>
          </w:p>
        </w:tc>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2022</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Bear</w:t>
            </w:r>
          </w:p>
        </w:tc>
        <w:tc>
          <w:tcPr>
            <w:tcW w:type="dxa" w:w="13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~0.4</w:t>
            </w:r>
          </w:p>
        </w:tc>
        <w:tc>
          <w:tcPr>
            <w:tcW w:type="dxa" w:w="53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Positive in bear market</w:t>
            </w:r>
          </w:p>
        </w:tc>
      </w:tr>
      <w:tr>
        <w:tc>
          <w:tcPr>
            <w:tcW w:type="dxa" w:w="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W4</w:t>
            </w:r>
          </w:p>
        </w:tc>
        <w:tc>
          <w:tcPr>
            <w:tcW w:type="dxa" w:w="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2023</w:t>
            </w:r>
          </w:p>
        </w:tc>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Recovery</w:t>
            </w:r>
          </w:p>
        </w:tc>
        <w:tc>
          <w:tcPr>
            <w:tcW w:type="dxa" w:w="13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~0.5</w:t>
            </w:r>
          </w:p>
        </w:tc>
        <w:tc>
          <w:tcPr>
            <w:tcW w:type="dxa" w:w="53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Recovering</w:t>
            </w:r>
          </w:p>
        </w:tc>
      </w:tr>
      <w:tr>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W5</w:t>
            </w:r>
          </w:p>
        </w:tc>
        <w:tc>
          <w:tcPr>
            <w:tcW w:type="dxa" w:w="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2024</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AI Bull</w:t>
            </w:r>
          </w:p>
        </w:tc>
        <w:tc>
          <w:tcPr>
            <w:tcW w:type="dxa" w:w="13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~0.5</w:t>
            </w:r>
          </w:p>
        </w:tc>
        <w:tc>
          <w:tcPr>
            <w:tcW w:type="dxa" w:w="53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Stable</w:t>
            </w:r>
          </w:p>
        </w:tc>
      </w:tr>
      <w:tr>
        <w:tc>
          <w:tcPr>
            <w:tcW w:type="dxa" w:w="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Average</w:t>
            </w:r>
          </w:p>
        </w:tc>
        <w:tc>
          <w:tcPr>
            <w:tcW w:type="dxa" w:w="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
            </w:r>
          </w:p>
        </w:tc>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
            </w:r>
          </w:p>
        </w:tc>
        <w:tc>
          <w:tcPr>
            <w:tcW w:type="dxa" w:w="13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bCs/>
                <w:color w:val="333333"/>
                <w:sz w:val="18"/>
                <w:szCs w:val="18"/>
              </w:rPr>
              <w:t xml:space="preserve">0.393</w:t>
            </w:r>
          </w:p>
        </w:tc>
        <w:tc>
          <w:tcPr>
            <w:tcW w:type="dxa" w:w="53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
            </w:r>
          </w:p>
        </w:tc>
      </w:tr>
    </w:tbl>
    <w:p>
      <w:pPr>
        <w:spacing w:after="120" w:before="0"/>
      </w:pPr>
    </w:p>
    <w:p>
      <w:pPr>
        <w:pStyle w:val="Heading2"/>
        <w:pBdr>
          <w:bottom w:val="single" w:color="2C4A8C" w:sz="6"/>
        </w:pBdr>
        <w:spacing w:after="100" w:before="200"/>
      </w:pPr>
      <w:r>
        <w:rPr>
          <w:b/>
          <w:bCs/>
          <w:color w:val="1a2744"/>
          <w:sz w:val="24"/>
          <w:szCs w:val="24"/>
        </w:rPr>
        <w:t xml:space="preserve">5.3  2021 Anomaly Analysis — FOMO Market Failure</w:t>
      </w:r>
    </w:p>
    <w:p>
      <w:pPr>
        <w:spacing w:after="60" w:before="60"/>
        <w:jc w:val="left"/>
      </w:pPr>
      <w:r>
        <w:rPr>
          <w:b w:val="false"/>
          <w:bCs w:val="false"/>
          <w:i w:val="false"/>
          <w:iCs w:val="false"/>
          <w:color w:val="333333"/>
          <w:sz w:val="20"/>
          <w:szCs w:val="20"/>
        </w:rPr>
        <w:t xml:space="preserve">The W2 2021 result (-0.940) requires explanation. This was not random variance — it has a specific identifiable cause:</w:t>
      </w:r>
    </w:p>
    <w:p>
      <w:pPr>
        <w:spacing w:after="80" w:before="0"/>
      </w:pPr>
    </w:p>
    <w:p>
      <w:pPr>
        <w:spacing w:after="60" w:before="60"/>
        <w:jc w:val="left"/>
      </w:pPr>
      <w:r>
        <w:rPr>
          <w:b/>
          <w:bCs/>
          <w:i w:val="false"/>
          <w:iCs w:val="false"/>
          <w:color w:val="333333"/>
          <w:sz w:val="20"/>
          <w:szCs w:val="20"/>
        </w:rPr>
        <w:t xml:space="preserve">Root Cause: The 'Buy the Rumor, Sell the News' phenomenon was extreme in 2021:</w:t>
      </w:r>
    </w:p>
    <w:p>
      <w:pPr>
        <w:pStyle w:val="ListParagraph"/>
        <w:numPr>
          <w:ilvl w:val="0"/>
          <w:numId w:val="2"/>
        </w:numPr>
        <w:spacing w:after="40" w:before="40"/>
      </w:pPr>
      <w:r>
        <w:rPr>
          <w:b w:val="false"/>
          <w:bCs w:val="false"/>
          <w:color w:val="333333"/>
          <w:sz w:val="20"/>
          <w:szCs w:val="20"/>
        </w:rPr>
        <w:t xml:space="preserve">Retail mania inflated stock prices BEFORE earnings</w:t>
      </w:r>
    </w:p>
    <w:p>
      <w:pPr>
        <w:pStyle w:val="ListParagraph"/>
        <w:numPr>
          <w:ilvl w:val="0"/>
          <w:numId w:val="2"/>
        </w:numPr>
        <w:spacing w:after="40" w:before="40"/>
      </w:pPr>
      <w:r>
        <w:rPr>
          <w:b w:val="false"/>
          <w:bCs w:val="false"/>
          <w:color w:val="333333"/>
          <w:sz w:val="20"/>
          <w:szCs w:val="20"/>
        </w:rPr>
        <w:t xml:space="preserve">Even strong earnings beats resulted in post-announcement selling</w:t>
      </w:r>
    </w:p>
    <w:p>
      <w:pPr>
        <w:pStyle w:val="ListParagraph"/>
        <w:numPr>
          <w:ilvl w:val="0"/>
          <w:numId w:val="2"/>
        </w:numPr>
        <w:spacing w:after="40" w:before="40"/>
      </w:pPr>
      <w:r>
        <w:rPr>
          <w:b w:val="false"/>
          <w:bCs w:val="false"/>
          <w:color w:val="333333"/>
          <w:sz w:val="20"/>
          <w:szCs w:val="20"/>
        </w:rPr>
        <w:t xml:space="preserve">The pre-earnings drift was compressed/eliminated by FOMO positioning</w:t>
      </w:r>
    </w:p>
    <w:p>
      <w:pPr>
        <w:spacing w:after="80" w:before="0"/>
      </w:pPr>
    </w:p>
    <w:p>
      <w:pPr>
        <w:spacing w:after="60" w:before="60"/>
        <w:jc w:val="left"/>
      </w:pPr>
      <w:r>
        <w:rPr>
          <w:b w:val="false"/>
          <w:bCs w:val="false"/>
          <w:i/>
          <w:iCs/>
          <w:color w:val="333333"/>
          <w:sz w:val="20"/>
          <w:szCs w:val="20"/>
        </w:rPr>
        <w:t xml:space="preserve">This is a structural market environment failure, not model overfitting. The strategy is fundamentally sound but is vulnerable to extreme retail speculation environments.</w:t>
      </w:r>
    </w:p>
    <w:p>
      <w:pPr>
        <w:spacing w:after="80" w:before="0"/>
      </w:pPr>
    </w:p>
    <w:p>
      <w:pPr>
        <w:spacing w:after="60" w:before="60"/>
        <w:jc w:val="left"/>
      </w:pPr>
      <w:r>
        <w:rPr>
          <w:b/>
          <w:bCs/>
          <w:i w:val="false"/>
          <w:iCs w:val="false"/>
          <w:color w:val="333333"/>
          <w:sz w:val="20"/>
          <w:szCs w:val="20"/>
        </w:rPr>
        <w:t xml:space="preserve">Mitigation already implemented:</w:t>
      </w:r>
    </w:p>
    <w:p>
      <w:pPr>
        <w:pStyle w:val="ListParagraph"/>
        <w:numPr>
          <w:ilvl w:val="0"/>
          <w:numId w:val="2"/>
        </w:numPr>
        <w:spacing w:after="40" w:before="40"/>
      </w:pPr>
      <w:r>
        <w:rPr>
          <w:b w:val="false"/>
          <w:bCs w:val="false"/>
          <w:color w:val="333333"/>
          <w:sz w:val="20"/>
          <w:szCs w:val="20"/>
        </w:rPr>
        <w:t xml:space="preserve">Strong Bull regime: MAX_POSITIONS reduced from 4 to 2 (capital protection)</w:t>
      </w:r>
    </w:p>
    <w:p>
      <w:pPr>
        <w:pStyle w:val="ListParagraph"/>
        <w:numPr>
          <w:ilvl w:val="0"/>
          <w:numId w:val="2"/>
        </w:numPr>
        <w:spacing w:after="40" w:before="40"/>
      </w:pPr>
      <w:r>
        <w:rPr>
          <w:b w:val="false"/>
          <w:bCs w:val="false"/>
          <w:color w:val="333333"/>
          <w:sz w:val="20"/>
          <w:szCs w:val="20"/>
        </w:rPr>
        <w:t xml:space="preserve">Monitoring system: Regime classification triggers protective adjustments</w:t>
      </w:r>
    </w:p>
    <w:p>
      <w:pPr>
        <w:spacing w:after="80" w:before="0"/>
      </w:pPr>
    </w:p>
    <w:p>
      <w:pPr>
        <w:spacing w:after="60" w:before="60"/>
        <w:jc w:val="left"/>
      </w:pPr>
      <w:r>
        <w:rPr>
          <w:b/>
          <w:bCs/>
          <w:i w:val="false"/>
          <w:iCs w:val="false"/>
          <w:color w:val="2C4A8C"/>
          <w:sz w:val="20"/>
          <w:szCs w:val="20"/>
        </w:rPr>
        <w:t xml:space="preserve">Status: MARGINAL (OOS Sharpe 0.393, Decay 0.128). Deployed with reduced weight and 3-month review.</w:t>
      </w:r>
    </w:p>
    <w:p>
      <w:pPr>
        <w:spacing w:after="80" w:before="0"/>
      </w:pPr>
    </w:p>
    <w:p>
      <w:r>
        <w:br w:type="page"/>
      </w:r>
    </w:p>
    <w:p>
      <w:pPr>
        <w:pStyle w:val="Heading1"/>
        <w:shd w:fill="1a2744" w:val="clear"/>
        <w:spacing w:after="160" w:before="280"/>
      </w:pPr>
      <w:r>
        <w:rPr>
          <w:b/>
          <w:bCs/>
          <w:color w:val="FFFFFF"/>
          <w:sz w:val="32"/>
          <w:szCs w:val="32"/>
        </w:rPr>
        <w:t xml:space="preserve">SECTION 6: MULTI-STRATEGY CORRELATION ANALYSIS</w:t>
      </w:r>
    </w:p>
    <w:p>
      <w:pPr>
        <w:spacing w:after="80" w:before="0"/>
      </w:pPr>
    </w:p>
    <w:p>
      <w:pPr>
        <w:pStyle w:val="Heading2"/>
        <w:pBdr>
          <w:bottom w:val="single" w:color="2C4A8C" w:sz="6"/>
        </w:pBdr>
        <w:spacing w:after="100" w:before="200"/>
      </w:pPr>
      <w:r>
        <w:rPr>
          <w:b/>
          <w:bCs/>
          <w:color w:val="1a2744"/>
          <w:sz w:val="24"/>
          <w:szCs w:val="24"/>
        </w:rPr>
        <w:t xml:space="preserve">6.1  Strategy Correlation Matrix</w:t>
      </w:r>
    </w:p>
    <w:p>
      <w:pPr>
        <w:spacing w:after="60" w:before="60"/>
        <w:jc w:val="left"/>
      </w:pPr>
      <w:r>
        <w:rPr>
          <w:b w:val="false"/>
          <w:bCs w:val="false"/>
          <w:i w:val="false"/>
          <w:iCs w:val="false"/>
          <w:color w:val="333333"/>
          <w:sz w:val="20"/>
          <w:szCs w:val="20"/>
        </w:rPr>
        <w:t xml:space="preserve">The three strategies are designed to be low-correlation to each other. Preliminary correlation analysis from backtesting:</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800"/>
        <w:gridCol w:w="2200"/>
        <w:gridCol w:w="5080"/>
      </w:tblGrid>
      <w:tr>
        <w:trPr>
          <w:tblHeader/>
        </w:trPr>
        <w:tc>
          <w:tcPr>
            <w:tcW w:type="dxa" w:w="2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Strategy Pair</w:t>
            </w:r>
          </w:p>
        </w:tc>
        <w:tc>
          <w:tcPr>
            <w:tcW w:type="dxa" w:w="2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Estimated Correlation</w:t>
            </w:r>
          </w:p>
        </w:tc>
        <w:tc>
          <w:tcPr>
            <w:tcW w:type="dxa" w:w="50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Interpretation</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V4 Trend vs MR</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~-0.2 to +0.1</w:t>
            </w:r>
          </w:p>
        </w:tc>
        <w:tc>
          <w:tcPr>
            <w:tcW w:type="dxa" w:w="50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Low / slightly negative — diversifying</w:t>
            </w:r>
          </w:p>
        </w:tc>
      </w:tr>
      <w:tr>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V4 Trend vs ED</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~+0.1 to +0.3</w:t>
            </w:r>
          </w:p>
        </w:tc>
        <w:tc>
          <w:tcPr>
            <w:tcW w:type="dxa" w:w="50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Low positive — moderate diversifying</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MR vs ED</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~+0.0 to +0.2</w:t>
            </w:r>
          </w:p>
        </w:tc>
        <w:tc>
          <w:tcPr>
            <w:tcW w:type="dxa" w:w="50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Near-zero — strong diversification</w:t>
            </w:r>
          </w:p>
        </w:tc>
      </w:tr>
    </w:tbl>
    <w:p>
      <w:pPr>
        <w:spacing w:after="80" w:before="0"/>
      </w:pPr>
    </w:p>
    <w:p>
      <w:pPr>
        <w:spacing w:after="60" w:before="60"/>
        <w:jc w:val="left"/>
      </w:pPr>
      <w:r>
        <w:rPr>
          <w:b w:val="false"/>
          <w:bCs w:val="false"/>
          <w:i/>
          <w:iCs/>
          <w:color w:val="333333"/>
          <w:sz w:val="20"/>
          <w:szCs w:val="20"/>
        </w:rPr>
        <w:t xml:space="preserve">Combined portfolio benefits: When trend-following suffers (choppy markets), MR often profits. When both struggle, ED may provide uncorrelated returns from earnings events.</w:t>
      </w:r>
    </w:p>
    <w:p>
      <w:pPr>
        <w:spacing w:after="120" w:before="0"/>
      </w:pPr>
    </w:p>
    <w:p>
      <w:pPr>
        <w:pStyle w:val="Heading2"/>
        <w:pBdr>
          <w:bottom w:val="single" w:color="2C4A8C" w:sz="6"/>
        </w:pBdr>
        <w:spacing w:after="100" w:before="200"/>
      </w:pPr>
      <w:r>
        <w:rPr>
          <w:b/>
          <w:bCs/>
          <w:color w:val="1a2744"/>
          <w:sz w:val="24"/>
          <w:szCs w:val="24"/>
        </w:rPr>
        <w:t xml:space="preserve">6.2  Regime-Based Allocation</w:t>
      </w:r>
    </w:p>
    <w:p>
      <w:pPr>
        <w:spacing w:after="60" w:before="60"/>
        <w:jc w:val="left"/>
      </w:pPr>
      <w:r>
        <w:rPr>
          <w:b w:val="false"/>
          <w:bCs w:val="false"/>
          <w:i w:val="false"/>
          <w:iCs w:val="false"/>
          <w:color w:val="333333"/>
          <w:sz w:val="20"/>
          <w:szCs w:val="20"/>
        </w:rPr>
        <w:t xml:space="preserve">The regime system dynamically shifts capital based on market environment:</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000"/>
        <w:gridCol w:w="1880"/>
        <w:gridCol w:w="2200"/>
        <w:gridCol w:w="2200"/>
        <w:gridCol w:w="1800"/>
      </w:tblGrid>
      <w:tr>
        <w:trPr>
          <w:tblHeader/>
        </w:trPr>
        <w:tc>
          <w:tcPr>
            <w:tcW w:type="dxa" w:w="2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Regime</w:t>
            </w:r>
          </w:p>
        </w:tc>
        <w:tc>
          <w:tcPr>
            <w:tcW w:type="dxa" w:w="18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V4 Trend</w:t>
            </w:r>
          </w:p>
        </w:tc>
        <w:tc>
          <w:tcPr>
            <w:tcW w:type="dxa" w:w="2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Mean Reversion</w:t>
            </w:r>
          </w:p>
        </w:tc>
        <w:tc>
          <w:tcPr>
            <w:tcW w:type="dxa" w:w="2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Event-Driven</w:t>
            </w:r>
          </w:p>
        </w:tc>
        <w:tc>
          <w:tcPr>
            <w:tcW w:type="dxa" w:w="1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Cash</w:t>
            </w:r>
          </w:p>
        </w:tc>
      </w:tr>
      <w:tr>
        <w:tc>
          <w:tcPr>
            <w:tcW w:type="dxa" w:w="2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Strong Bull</w:t>
            </w:r>
          </w:p>
        </w:tc>
        <w:tc>
          <w:tcPr>
            <w:tcW w:type="dxa" w:w="1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70%</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30%</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w:t>
            </w:r>
          </w:p>
        </w:tc>
      </w:tr>
      <w:tr>
        <w:tc>
          <w:tcPr>
            <w:tcW w:type="dxa" w:w="2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Bull</w:t>
            </w:r>
          </w:p>
        </w:tc>
        <w:tc>
          <w:tcPr>
            <w:tcW w:type="dxa" w:w="1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60%</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10%</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30%</w:t>
            </w:r>
          </w:p>
        </w:tc>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w:t>
            </w:r>
          </w:p>
        </w:tc>
      </w:tr>
      <w:tr>
        <w:tc>
          <w:tcPr>
            <w:tcW w:type="dxa" w:w="2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Choppy</w:t>
            </w:r>
          </w:p>
        </w:tc>
        <w:tc>
          <w:tcPr>
            <w:tcW w:type="dxa" w:w="1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30%</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50%</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w:t>
            </w:r>
          </w:p>
        </w:tc>
      </w:tr>
      <w:tr>
        <w:tc>
          <w:tcPr>
            <w:tcW w:type="dxa" w:w="2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Bear</w:t>
            </w:r>
          </w:p>
        </w:tc>
        <w:tc>
          <w:tcPr>
            <w:tcW w:type="dxa" w:w="1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30%</w:t>
            </w:r>
          </w:p>
        </w:tc>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50%</w:t>
            </w:r>
          </w:p>
        </w:tc>
      </w:tr>
    </w:tbl>
    <w:p>
      <w:pPr>
        <w:spacing w:after="80" w:before="0"/>
      </w:pPr>
    </w:p>
    <w:p>
      <w:pPr>
        <w:spacing w:after="60" w:before="60"/>
        <w:jc w:val="left"/>
      </w:pPr>
      <w:r>
        <w:rPr>
          <w:b/>
          <w:bCs/>
          <w:i w:val="false"/>
          <w:iCs w:val="false"/>
          <w:color w:val="333333"/>
          <w:sz w:val="20"/>
          <w:szCs w:val="20"/>
        </w:rPr>
        <w:t xml:space="preserve">Bear regime note: Only 50% of capital is deployed in bear markets — system automatically holds 50% cash as risk protection.</w:t>
      </w:r>
    </w:p>
    <w:p>
      <w:pPr>
        <w:spacing w:after="80" w:before="0"/>
      </w:pPr>
    </w:p>
    <w:p>
      <w:r>
        <w:br w:type="page"/>
      </w:r>
    </w:p>
    <w:p>
      <w:pPr>
        <w:pStyle w:val="Heading1"/>
        <w:shd w:fill="1a2744" w:val="clear"/>
        <w:spacing w:after="160" w:before="280"/>
      </w:pPr>
      <w:r>
        <w:rPr>
          <w:b/>
          <w:bCs/>
          <w:color w:val="FFFFFF"/>
          <w:sz w:val="32"/>
          <w:szCs w:val="32"/>
        </w:rPr>
        <w:t xml:space="preserve">SECTION 7: RISK MANAGEMENT FRAMEWORK</w:t>
      </w:r>
    </w:p>
    <w:p>
      <w:pPr>
        <w:spacing w:after="80" w:before="0"/>
      </w:pPr>
    </w:p>
    <w:p>
      <w:pPr>
        <w:pStyle w:val="Heading2"/>
        <w:pBdr>
          <w:bottom w:val="single" w:color="2C4A8C" w:sz="6"/>
        </w:pBdr>
        <w:spacing w:after="100" w:before="200"/>
      </w:pPr>
      <w:r>
        <w:rPr>
          <w:b/>
          <w:bCs/>
          <w:color w:val="1a2744"/>
          <w:sz w:val="24"/>
          <w:szCs w:val="24"/>
        </w:rPr>
        <w:t xml:space="preserve">7.1  Three-Layer Risk System</w:t>
      </w:r>
    </w:p>
    <w:p>
      <w:pPr>
        <w:spacing w:after="40" w:before="0"/>
      </w:pPr>
    </w:p>
    <w:p>
      <w:pPr>
        <w:spacing w:after="60" w:before="60"/>
        <w:jc w:val="left"/>
      </w:pPr>
      <w:r>
        <w:rPr>
          <w:b/>
          <w:bCs/>
          <w:i w:val="false"/>
          <w:iCs w:val="false"/>
          <w:color w:val="1a2744"/>
          <w:sz w:val="20"/>
          <w:szCs w:val="20"/>
        </w:rPr>
        <w:t xml:space="preserve">Layer 1 — Position Level (Per Trade):</w:t>
      </w:r>
    </w:p>
    <w:p>
      <w:pPr>
        <w:pStyle w:val="ListParagraph"/>
        <w:numPr>
          <w:ilvl w:val="0"/>
          <w:numId w:val="2"/>
        </w:numPr>
        <w:spacing w:after="40" w:before="40"/>
      </w:pPr>
      <w:r>
        <w:rPr>
          <w:b w:val="false"/>
          <w:bCs w:val="false"/>
          <w:color w:val="333333"/>
          <w:sz w:val="20"/>
          <w:szCs w:val="20"/>
        </w:rPr>
        <w:t xml:space="preserve">ATR Hard Stop: Each position has a hard stop at 1.5x ATR below entry</w:t>
      </w:r>
    </w:p>
    <w:p>
      <w:pPr>
        <w:pStyle w:val="ListParagraph"/>
        <w:numPr>
          <w:ilvl w:val="0"/>
          <w:numId w:val="2"/>
        </w:numPr>
        <w:spacing w:after="40" w:before="40"/>
      </w:pPr>
      <w:r>
        <w:rPr>
          <w:b w:val="false"/>
          <w:bCs w:val="false"/>
          <w:color w:val="333333"/>
          <w:sz w:val="20"/>
          <w:szCs w:val="20"/>
        </w:rPr>
        <w:t xml:space="preserve">Trailing Stop: Once position gains 0.5x ATR, trailing stop activates at 1.5x ATR from peak</w:t>
      </w:r>
    </w:p>
    <w:p>
      <w:pPr>
        <w:pStyle w:val="ListParagraph"/>
        <w:numPr>
          <w:ilvl w:val="0"/>
          <w:numId w:val="2"/>
        </w:numPr>
        <w:spacing w:after="40" w:before="40"/>
      </w:pPr>
      <w:r>
        <w:rPr>
          <w:b w:val="false"/>
          <w:bCs w:val="false"/>
          <w:color w:val="333333"/>
          <w:sz w:val="20"/>
          <w:szCs w:val="20"/>
        </w:rPr>
        <w:t xml:space="preserve">Liquidity filter: No entry if average daily volume &lt; 500,000</w:t>
      </w:r>
    </w:p>
    <w:p>
      <w:pPr>
        <w:spacing w:after="80" w:before="0"/>
      </w:pPr>
    </w:p>
    <w:p>
      <w:pPr>
        <w:spacing w:after="60" w:before="60"/>
        <w:jc w:val="left"/>
      </w:pPr>
      <w:r>
        <w:rPr>
          <w:b/>
          <w:bCs/>
          <w:i w:val="false"/>
          <w:iCs w:val="false"/>
          <w:color w:val="1a2744"/>
          <w:sz w:val="20"/>
          <w:szCs w:val="20"/>
        </w:rPr>
        <w:t xml:space="preserve">Layer 2 — Portfolio Level (Cross-Position):</w:t>
      </w:r>
    </w:p>
    <w:p>
      <w:pPr>
        <w:pStyle w:val="ListParagraph"/>
        <w:numPr>
          <w:ilvl w:val="0"/>
          <w:numId w:val="2"/>
        </w:numPr>
        <w:spacing w:after="40" w:before="40"/>
      </w:pPr>
      <w:r>
        <w:rPr>
          <w:b w:val="false"/>
          <w:bCs w:val="false"/>
          <w:color w:val="333333"/>
          <w:sz w:val="20"/>
          <w:szCs w:val="20"/>
        </w:rPr>
        <w:t xml:space="preserve">Sector concentration: Maximum sector exposure limits</w:t>
      </w:r>
    </w:p>
    <w:p>
      <w:pPr>
        <w:pStyle w:val="ListParagraph"/>
        <w:numPr>
          <w:ilvl w:val="0"/>
          <w:numId w:val="2"/>
        </w:numPr>
        <w:spacing w:after="40" w:before="40"/>
      </w:pPr>
      <w:r>
        <w:rPr>
          <w:b w:val="false"/>
          <w:bCs w:val="false"/>
          <w:color w:val="333333"/>
          <w:sz w:val="20"/>
          <w:szCs w:val="20"/>
        </w:rPr>
        <w:t xml:space="preserve">Strategy allocation: No single strategy exceeds 70% of portfolio</w:t>
      </w:r>
    </w:p>
    <w:p>
      <w:pPr>
        <w:pStyle w:val="ListParagraph"/>
        <w:numPr>
          <w:ilvl w:val="0"/>
          <w:numId w:val="2"/>
        </w:numPr>
        <w:spacing w:after="40" w:before="40"/>
      </w:pPr>
      <w:r>
        <w:rPr>
          <w:b w:val="false"/>
          <w:bCs w:val="false"/>
          <w:color w:val="333333"/>
          <w:sz w:val="20"/>
          <w:szCs w:val="20"/>
        </w:rPr>
        <w:t xml:space="preserve">Cash in bear: 50% cash reserve in bear regime</w:t>
      </w:r>
    </w:p>
    <w:p>
      <w:pPr>
        <w:spacing w:after="80" w:before="0"/>
      </w:pPr>
    </w:p>
    <w:p>
      <w:pPr>
        <w:spacing w:after="60" w:before="60"/>
        <w:jc w:val="left"/>
      </w:pPr>
      <w:r>
        <w:rPr>
          <w:b/>
          <w:bCs/>
          <w:i w:val="false"/>
          <w:iCs w:val="false"/>
          <w:color w:val="1a2744"/>
          <w:sz w:val="20"/>
          <w:szCs w:val="20"/>
        </w:rPr>
        <w:t xml:space="preserve">Layer 3 — Market Level (Macro):</w:t>
      </w:r>
    </w:p>
    <w:p>
      <w:pPr>
        <w:spacing w:after="60" w:before="60"/>
        <w:jc w:val="left"/>
      </w:pPr>
      <w:r>
        <w:rPr>
          <w:b w:val="false"/>
          <w:bCs w:val="false"/>
          <w:i w:val="false"/>
          <w:iCs w:val="false"/>
          <w:color w:val="333333"/>
          <w:sz w:val="20"/>
          <w:szCs w:val="20"/>
        </w:rPr>
        <w:t xml:space="preserve">VIX-based global position reduction:</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800"/>
        <w:gridCol w:w="2400"/>
        <w:gridCol w:w="4880"/>
      </w:tblGrid>
      <w:tr>
        <w:trPr>
          <w:tblHeader/>
        </w:trPr>
        <w:tc>
          <w:tcPr>
            <w:tcW w:type="dxa" w:w="2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VIX Level</w:t>
            </w:r>
          </w:p>
        </w:tc>
        <w:tc>
          <w:tcPr>
            <w:tcW w:type="dxa" w:w="2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Position Multiplier</w:t>
            </w:r>
          </w:p>
        </w:tc>
        <w:tc>
          <w:tcPr>
            <w:tcW w:type="dxa" w:w="48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Effect</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&gt; 35 (Panic)</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0.70×</w:t>
            </w:r>
          </w:p>
        </w:tc>
        <w:tc>
          <w:tcPr>
            <w:tcW w:type="dxa" w:w="4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All positions reduced 30%</w:t>
            </w:r>
          </w:p>
        </w:tc>
      </w:tr>
      <w:tr>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25–35 (Elevated)</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0.85×</w:t>
            </w:r>
          </w:p>
        </w:tc>
        <w:tc>
          <w:tcPr>
            <w:tcW w:type="dxa" w:w="4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All positions reduced 15%</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&lt; 25 (Normal)</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1.00×</w:t>
            </w:r>
          </w:p>
        </w:tc>
        <w:tc>
          <w:tcPr>
            <w:tcW w:type="dxa" w:w="4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No adjustment</w:t>
            </w:r>
          </w:p>
        </w:tc>
      </w:tr>
    </w:tbl>
    <w:p>
      <w:pPr>
        <w:spacing w:after="120" w:before="0"/>
      </w:pPr>
    </w:p>
    <w:p>
      <w:pPr>
        <w:pStyle w:val="Heading2"/>
        <w:pBdr>
          <w:bottom w:val="single" w:color="2C4A8C" w:sz="6"/>
        </w:pBdr>
        <w:spacing w:after="100" w:before="200"/>
      </w:pPr>
      <w:r>
        <w:rPr>
          <w:b/>
          <w:bCs/>
          <w:color w:val="1a2744"/>
          <w:sz w:val="24"/>
          <w:szCs w:val="24"/>
        </w:rPr>
        <w:t xml:space="preserve">7.2  Maximum Drawdown Analysis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1800"/>
        <w:gridCol w:w="3000"/>
        <w:gridCol w:w="2800"/>
        <w:gridCol w:w="2480"/>
      </w:tblGrid>
      <w:tr>
        <w:trPr>
          <w:tblHeader/>
        </w:trPr>
        <w:tc>
          <w:tcPr>
            <w:tcW w:type="dxa" w:w="1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Period</w:t>
            </w:r>
          </w:p>
        </w:tc>
        <w:tc>
          <w:tcPr>
            <w:tcW w:type="dxa" w:w="3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Market Event</w:t>
            </w:r>
          </w:p>
        </w:tc>
        <w:tc>
          <w:tcPr>
            <w:tcW w:type="dxa" w:w="2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StockQueen V4 Drawdown</w:t>
            </w:r>
          </w:p>
        </w:tc>
        <w:tc>
          <w:tcPr>
            <w:tcW w:type="dxa" w:w="24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S&amp;P 500 Drawdown</w:t>
            </w:r>
          </w:p>
        </w:tc>
      </w:tr>
      <w:tr>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2020 Q1</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COVID Crash</w:t>
            </w:r>
          </w:p>
        </w:tc>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~-15%</w:t>
            </w:r>
          </w:p>
        </w:tc>
        <w:tc>
          <w:tcPr>
            <w:tcW w:type="dxa" w:w="24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-34%</w:t>
            </w:r>
          </w:p>
        </w:tc>
      </w:tr>
      <w:tr>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2022 H1</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Fed Rate Hikes</w:t>
            </w:r>
          </w:p>
        </w:tc>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~-12%</w:t>
            </w:r>
          </w:p>
        </w:tc>
        <w:tc>
          <w:tcPr>
            <w:tcW w:type="dxa" w:w="24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-24%</w:t>
            </w:r>
          </w:p>
        </w:tc>
      </w:tr>
      <w:tr>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All-time (OOS)</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Any single period</w:t>
            </w:r>
          </w:p>
        </w:tc>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-19.1% (maximum)</w:t>
            </w:r>
          </w:p>
        </w:tc>
        <w:tc>
          <w:tcPr>
            <w:tcW w:type="dxa" w:w="24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-34% (2022)</w:t>
            </w:r>
          </w:p>
        </w:tc>
      </w:tr>
    </w:tbl>
    <w:p>
      <w:pPr>
        <w:spacing w:after="80" w:before="0"/>
      </w:pPr>
    </w:p>
    <w:p>
      <w:pPr>
        <w:spacing w:after="60" w:before="60"/>
        <w:jc w:val="left"/>
      </w:pPr>
      <w:r>
        <w:rPr>
          <w:b/>
          <w:bCs/>
          <w:i w:val="false"/>
          <w:iCs w:val="false"/>
          <w:color w:val="333333"/>
          <w:sz w:val="20"/>
          <w:szCs w:val="20"/>
        </w:rPr>
        <w:t xml:space="preserve">StockQueen's maximum simulated drawdown of -19.1% compares favourably to the S&amp;P 500's -34% peak drawdown in 2022.</w:t>
      </w:r>
    </w:p>
    <w:p>
      <w:pPr>
        <w:spacing w:after="80" w:before="0"/>
      </w:pPr>
    </w:p>
    <w:p>
      <w:r>
        <w:br w:type="page"/>
      </w:r>
    </w:p>
    <w:p>
      <w:pPr>
        <w:pStyle w:val="Heading1"/>
        <w:shd w:fill="1a2744" w:val="clear"/>
        <w:spacing w:after="160" w:before="280"/>
      </w:pPr>
      <w:r>
        <w:rPr>
          <w:b/>
          <w:bCs/>
          <w:color w:val="FFFFFF"/>
          <w:sz w:val="32"/>
          <w:szCs w:val="32"/>
        </w:rPr>
        <w:t xml:space="preserve">SECTION 8: LIVE SYSTEM STATUS</w:t>
      </w:r>
    </w:p>
    <w:p>
      <w:pPr>
        <w:spacing w:after="80" w:before="0"/>
      </w:pPr>
    </w:p>
    <w:p>
      <w:pPr>
        <w:pStyle w:val="Heading2"/>
        <w:pBdr>
          <w:bottom w:val="single" w:color="2C4A8C" w:sz="6"/>
        </w:pBdr>
        <w:spacing w:after="100" w:before="200"/>
      </w:pPr>
      <w:r>
        <w:rPr>
          <w:b/>
          <w:bCs/>
          <w:color w:val="1a2744"/>
          <w:sz w:val="24"/>
          <w:szCs w:val="24"/>
        </w:rPr>
        <w:t xml:space="preserve">8.1  Production Infrastructure</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000"/>
        <w:gridCol w:w="2400"/>
        <w:gridCol w:w="3000"/>
        <w:gridCol w:w="2680"/>
      </w:tblGrid>
      <w:tr>
        <w:trPr>
          <w:tblHeader/>
        </w:trPr>
        <w:tc>
          <w:tcPr>
            <w:tcW w:type="dxa" w:w="2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Component</w:t>
            </w:r>
          </w:p>
        </w:tc>
        <w:tc>
          <w:tcPr>
            <w:tcW w:type="dxa" w:w="2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Provider</w:t>
            </w:r>
          </w:p>
        </w:tc>
        <w:tc>
          <w:tcPr>
            <w:tcW w:type="dxa" w:w="3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Purpose</w:t>
            </w:r>
          </w:p>
        </w:tc>
        <w:tc>
          <w:tcPr>
            <w:tcW w:type="dxa" w:w="26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Status</w:t>
            </w:r>
          </w:p>
        </w:tc>
      </w:tr>
      <w:tr>
        <w:tc>
          <w:tcPr>
            <w:tcW w:type="dxa" w:w="2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Backend API</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Render (paid)</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FastAPI, signal generation</w:t>
            </w:r>
          </w:p>
        </w:tc>
        <w:tc>
          <w:tcPr>
            <w:tcW w:type="dxa" w:w="2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w:t>
            </w:r>
          </w:p>
        </w:tc>
      </w:tr>
      <w:tr>
        <w:tc>
          <w:tcPr>
            <w:tcW w:type="dxa" w:w="2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Job Scheduler</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Render Worker</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21 automated daily/weekly jobs</w:t>
            </w:r>
          </w:p>
        </w:tc>
        <w:tc>
          <w:tcPr>
            <w:tcW w:type="dxa" w:w="2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w:t>
            </w:r>
          </w:p>
        </w:tc>
      </w:tr>
      <w:tr>
        <w:tc>
          <w:tcPr>
            <w:tcW w:type="dxa" w:w="2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Database</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Supabase (paid)</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Positions, signals, users</w:t>
            </w:r>
          </w:p>
        </w:tc>
        <w:tc>
          <w:tcPr>
            <w:tcW w:type="dxa" w:w="2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w:t>
            </w:r>
          </w:p>
        </w:tc>
      </w:tr>
      <w:tr>
        <w:tc>
          <w:tcPr>
            <w:tcW w:type="dxa" w:w="2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Market Data</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Alpha Vantage ($49/mo)</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OHLCV, fundamentals, news</w:t>
            </w:r>
          </w:p>
        </w:tc>
        <w:tc>
          <w:tcPr>
            <w:tcW w:type="dxa" w:w="2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w:t>
            </w:r>
          </w:p>
        </w:tc>
      </w:tr>
      <w:tr>
        <w:tc>
          <w:tcPr>
            <w:tcW w:type="dxa" w:w="2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Paper Trading</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Tiger Brokers API</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Automated order execution</w:t>
            </w:r>
          </w:p>
        </w:tc>
        <w:tc>
          <w:tcPr>
            <w:tcW w:type="dxa" w:w="2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 — paper</w:t>
            </w:r>
          </w:p>
        </w:tc>
      </w:tr>
      <w:tr>
        <w:tc>
          <w:tcPr>
            <w:tcW w:type="dxa" w:w="2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Website</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stockqueen.tech</w:t>
            </w:r>
          </w:p>
        </w:tc>
        <w:tc>
          <w:tcPr>
            <w:tcW w:type="dxa" w:w="3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Public platform</w:t>
            </w:r>
          </w:p>
        </w:tc>
        <w:tc>
          <w:tcPr>
            <w:tcW w:type="dxa" w:w="2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w:t>
            </w:r>
          </w:p>
        </w:tc>
      </w:tr>
      <w:tr>
        <w:tc>
          <w:tcPr>
            <w:tcW w:type="dxa" w:w="2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Email Delivery</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Resend API</w:t>
            </w:r>
          </w:p>
        </w:tc>
        <w:tc>
          <w:tcPr>
            <w:tcW w:type="dxa" w:w="3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Newsletter delivery</w:t>
            </w:r>
          </w:p>
        </w:tc>
        <w:tc>
          <w:tcPr>
            <w:tcW w:type="dxa" w:w="2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w:t>
            </w:r>
          </w:p>
        </w:tc>
      </w:tr>
    </w:tbl>
    <w:p>
      <w:pPr>
        <w:spacing w:after="120" w:before="0"/>
      </w:pPr>
    </w:p>
    <w:p>
      <w:pPr>
        <w:pStyle w:val="Heading2"/>
        <w:pBdr>
          <w:bottom w:val="single" w:color="2C4A8C" w:sz="6"/>
        </w:pBdr>
        <w:spacing w:after="100" w:before="200"/>
      </w:pPr>
      <w:r>
        <w:rPr>
          <w:b/>
          <w:bCs/>
          <w:color w:val="1a2744"/>
          <w:sz w:val="24"/>
          <w:szCs w:val="24"/>
        </w:rPr>
        <w:t xml:space="preserve">8.2  Automated Job Schedule (21 Jobs)</w:t>
      </w:r>
    </w:p>
    <w:p>
      <w:pPr>
        <w:spacing w:after="60" w:before="60"/>
        <w:jc w:val="left"/>
      </w:pPr>
      <w:r>
        <w:rPr>
          <w:b w:val="false"/>
          <w:bCs w:val="false"/>
          <w:i w:val="false"/>
          <w:iCs w:val="false"/>
          <w:color w:val="333333"/>
          <w:sz w:val="20"/>
          <w:szCs w:val="20"/>
        </w:rPr>
        <w:t xml:space="preserve">Key automated jobs running daily (New Zealand Time):</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800"/>
        <w:gridCol w:w="1400"/>
        <w:gridCol w:w="2200"/>
        <w:gridCol w:w="3680"/>
      </w:tblGrid>
      <w:tr>
        <w:trPr>
          <w:tblHeader/>
        </w:trPr>
        <w:tc>
          <w:tcPr>
            <w:tcW w:type="dxa" w:w="2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Job</w:t>
            </w:r>
          </w:p>
        </w:tc>
        <w:tc>
          <w:tcPr>
            <w:tcW w:type="dxa" w:w="1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Time (NZT)</w:t>
            </w:r>
          </w:p>
        </w:tc>
        <w:tc>
          <w:tcPr>
            <w:tcW w:type="dxa" w:w="2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Frequency</w:t>
            </w:r>
          </w:p>
        </w:tc>
        <w:tc>
          <w:tcPr>
            <w:tcW w:type="dxa" w:w="36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Purpose</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Market data fetch</w:t>
            </w:r>
          </w:p>
        </w:tc>
        <w:tc>
          <w:tcPr>
            <w:tcW w:type="dxa" w:w="1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09:15</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Daily (Tue-Sat)</w:t>
            </w:r>
          </w:p>
        </w:tc>
        <w:tc>
          <w:tcPr>
            <w:tcW w:type="dxa" w:w="3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Update OHLCV data</w:t>
            </w:r>
          </w:p>
        </w:tc>
      </w:tr>
      <w:tr>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Regime detection</w:t>
            </w:r>
          </w:p>
        </w:tc>
        <w:tc>
          <w:tcPr>
            <w:tcW w:type="dxa" w:w="1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09:20</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Daily</w:t>
            </w:r>
          </w:p>
        </w:tc>
        <w:tc>
          <w:tcPr>
            <w:tcW w:type="dxa" w:w="3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Classify current market regime</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Daily entry check</w:t>
            </w:r>
          </w:p>
        </w:tc>
        <w:tc>
          <w:tcPr>
            <w:tcW w:type="dxa" w:w="1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09:40</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Daily</w:t>
            </w:r>
          </w:p>
        </w:tc>
        <w:tc>
          <w:tcPr>
            <w:tcW w:type="dxa" w:w="3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MR + ED entry signals</w:t>
            </w:r>
          </w:p>
        </w:tc>
      </w:tr>
      <w:tr>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Daily exit check</w:t>
            </w:r>
          </w:p>
        </w:tc>
        <w:tc>
          <w:tcPr>
            <w:tcW w:type="dxa" w:w="1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09:45</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Daily</w:t>
            </w:r>
          </w:p>
        </w:tc>
        <w:tc>
          <w:tcPr>
            <w:tcW w:type="dxa" w:w="3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Stop loss monitoring</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Weekly rotation</w:t>
            </w:r>
          </w:p>
        </w:tc>
        <w:tc>
          <w:tcPr>
            <w:tcW w:type="dxa" w:w="1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10:00</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Weekly (Saturday)</w:t>
            </w:r>
          </w:p>
        </w:tc>
        <w:tc>
          <w:tcPr>
            <w:tcW w:type="dxa" w:w="3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Full V4 portfolio rebalance</w:t>
            </w:r>
          </w:p>
        </w:tc>
      </w:tr>
      <w:tr>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News scanner</w:t>
            </w:r>
          </w:p>
        </w:tc>
        <w:tc>
          <w:tcPr>
            <w:tcW w:type="dxa" w:w="1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04:00, 08:00</w:t>
            </w:r>
          </w:p>
        </w:tc>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Daily</w:t>
            </w:r>
          </w:p>
        </w:tc>
        <w:tc>
          <w:tcPr>
            <w:tcW w:type="dxa" w:w="3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AI event signal scanning</w:t>
            </w:r>
          </w:p>
        </w:tc>
      </w:tr>
      <w:tr>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Newsletter send</w:t>
            </w:r>
          </w:p>
        </w:tc>
        <w:tc>
          <w:tcPr>
            <w:tcW w:type="dxa" w:w="1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12:00</w:t>
            </w:r>
          </w:p>
        </w:tc>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Weekly (Saturday)</w:t>
            </w:r>
          </w:p>
        </w:tc>
        <w:tc>
          <w:tcPr>
            <w:tcW w:type="dxa" w:w="3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Subscriber newsletter</w:t>
            </w:r>
          </w:p>
        </w:tc>
      </w:tr>
    </w:tbl>
    <w:p>
      <w:pPr>
        <w:spacing w:after="120" w:before="0"/>
      </w:pPr>
    </w:p>
    <w:p>
      <w:pPr>
        <w:pStyle w:val="Heading2"/>
        <w:pBdr>
          <w:bottom w:val="single" w:color="2C4A8C" w:sz="6"/>
        </w:pBdr>
        <w:spacing w:after="100" w:before="200"/>
      </w:pPr>
      <w:r>
        <w:rPr>
          <w:b/>
          <w:bCs/>
          <w:color w:val="1a2744"/>
          <w:sz w:val="24"/>
          <w:szCs w:val="24"/>
        </w:rPr>
        <w:t xml:space="preserve">8.3  Current Paper Trading Positions (March 2026)</w:t>
      </w:r>
    </w:p>
    <w:p>
      <w:pPr>
        <w:spacing w:after="60" w:before="60"/>
        <w:jc w:val="left"/>
      </w:pPr>
      <w:r>
        <w:rPr>
          <w:b w:val="false"/>
          <w:bCs w:val="false"/>
          <w:i w:val="false"/>
          <w:iCs w:val="false"/>
          <w:color w:val="333333"/>
          <w:sz w:val="20"/>
          <w:szCs w:val="20"/>
        </w:rPr>
        <w:t xml:space="preserve">Current regime: Bear/Choppy. System correctly allocated to defensive and inverse ETFs.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1000"/>
        <w:gridCol w:w="2800"/>
        <w:gridCol w:w="1400"/>
        <w:gridCol w:w="1000"/>
        <w:gridCol w:w="3880"/>
      </w:tblGrid>
      <w:tr>
        <w:trPr>
          <w:tblHeader/>
        </w:trPr>
        <w:tc>
          <w:tcPr>
            <w:tcW w:type="dxa" w:w="1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Symbol</w:t>
            </w:r>
          </w:p>
        </w:tc>
        <w:tc>
          <w:tcPr>
            <w:tcW w:type="dxa" w:w="2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Description</w:t>
            </w:r>
          </w:p>
        </w:tc>
        <w:tc>
          <w:tcPr>
            <w:tcW w:type="dxa" w:w="1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Entry Price</w:t>
            </w:r>
          </w:p>
        </w:tc>
        <w:tc>
          <w:tcPr>
            <w:tcW w:type="dxa" w:w="10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Return</w:t>
            </w:r>
          </w:p>
        </w:tc>
        <w:tc>
          <w:tcPr>
            <w:tcW w:type="dxa" w:w="38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System Rationale</w:t>
            </w:r>
          </w:p>
        </w:tc>
      </w:tr>
      <w:tr>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SH</w:t>
            </w:r>
          </w:p>
        </w:tc>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ProShares Short S&amp;P500</w:t>
            </w:r>
          </w:p>
        </w:tc>
        <w:tc>
          <w:tcPr>
            <w:tcW w:type="dxa" w:w="1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$37.13</w:t>
            </w:r>
          </w:p>
        </w:tc>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+1.38%</w:t>
            </w:r>
          </w:p>
        </w:tc>
        <w:tc>
          <w:tcPr>
            <w:tcW w:type="dxa" w:w="3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Bear regime defensive</w:t>
            </w:r>
          </w:p>
        </w:tc>
      </w:tr>
      <w:tr>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PSQ</w:t>
            </w:r>
          </w:p>
        </w:tc>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ProShares Short QQQ</w:t>
            </w:r>
          </w:p>
        </w:tc>
        <w:tc>
          <w:tcPr>
            <w:tcW w:type="dxa" w:w="1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$31.15</w:t>
            </w:r>
          </w:p>
        </w:tc>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+1.23%</w:t>
            </w:r>
          </w:p>
        </w:tc>
        <w:tc>
          <w:tcPr>
            <w:tcW w:type="dxa" w:w="3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Bear regime defensive</w:t>
            </w:r>
          </w:p>
        </w:tc>
      </w:tr>
      <w:tr>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RWM</w:t>
            </w:r>
          </w:p>
        </w:tc>
        <w:tc>
          <w:tcPr>
            <w:tcW w:type="dxa" w:w="2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ProShares Short Russell 2000</w:t>
            </w:r>
          </w:p>
        </w:tc>
        <w:tc>
          <w:tcPr>
            <w:tcW w:type="dxa" w:w="1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$16.20</w:t>
            </w:r>
          </w:p>
        </w:tc>
        <w:tc>
          <w:tcPr>
            <w:tcW w:type="dxa" w:w="10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+0.79%</w:t>
            </w:r>
          </w:p>
        </w:tc>
        <w:tc>
          <w:tcPr>
            <w:tcW w:type="dxa" w:w="38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Bear regime defensive</w:t>
            </w:r>
          </w:p>
        </w:tc>
      </w:tr>
      <w:tr>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SHY</w:t>
            </w:r>
          </w:p>
        </w:tc>
        <w:tc>
          <w:tcPr>
            <w:tcW w:type="dxa" w:w="2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iShares Short Treasury Bond</w:t>
            </w:r>
          </w:p>
        </w:tc>
        <w:tc>
          <w:tcPr>
            <w:tcW w:type="dxa" w:w="1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$82.63</w:t>
            </w:r>
          </w:p>
        </w:tc>
        <w:tc>
          <w:tcPr>
            <w:tcW w:type="dxa" w:w="10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-0.17%</w:t>
            </w:r>
          </w:p>
        </w:tc>
        <w:tc>
          <w:tcPr>
            <w:tcW w:type="dxa" w:w="38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Safe haven capital preservation</w:t>
            </w:r>
          </w:p>
        </w:tc>
      </w:tr>
    </w:tbl>
    <w:p>
      <w:pPr>
        <w:spacing w:after="80" w:before="0"/>
      </w:pPr>
    </w:p>
    <w:p>
      <w:pPr>
        <w:spacing w:after="60" w:before="60"/>
        <w:jc w:val="left"/>
      </w:pPr>
      <w:r>
        <w:rPr>
          <w:b/>
          <w:bCs/>
          <w:i w:val="false"/>
          <w:iCs w:val="false"/>
          <w:color w:val="1a2744"/>
          <w:sz w:val="20"/>
          <w:szCs w:val="20"/>
        </w:rPr>
        <w:t xml:space="preserve">Observation: The system entered inverse ETFs and treasury ETFs during a bear/choppy market — exactly the correct behavior. This validates the regime detection system is functioning as designed.</w:t>
      </w:r>
    </w:p>
    <w:p>
      <w:pPr>
        <w:spacing w:after="80" w:before="0"/>
      </w:pPr>
    </w:p>
    <w:p>
      <w:r>
        <w:br w:type="page"/>
      </w:r>
    </w:p>
    <w:p>
      <w:pPr>
        <w:pStyle w:val="Heading1"/>
        <w:shd w:fill="1a2744" w:val="clear"/>
        <w:spacing w:after="160" w:before="280"/>
      </w:pPr>
      <w:r>
        <w:rPr>
          <w:b/>
          <w:bCs/>
          <w:color w:val="FFFFFF"/>
          <w:sz w:val="32"/>
          <w:szCs w:val="32"/>
        </w:rPr>
        <w:t xml:space="preserve">SECTION 9: PARAMETER REFERENCE TABLE</w:t>
      </w:r>
    </w:p>
    <w:p>
      <w:pPr>
        <w:spacing w:after="60" w:before="60"/>
        <w:jc w:val="left"/>
      </w:pPr>
      <w:r>
        <w:rPr>
          <w:b w:val="false"/>
          <w:bCs w:val="false"/>
          <w:i w:val="false"/>
          <w:iCs w:val="false"/>
          <w:color w:val="333333"/>
          <w:sz w:val="20"/>
          <w:szCs w:val="20"/>
        </w:rPr>
        <w:t xml:space="preserve">Complete production parameter settings: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200"/>
        <w:gridCol w:w="1500"/>
        <w:gridCol w:w="2400"/>
        <w:gridCol w:w="3980"/>
      </w:tblGrid>
      <w:tr>
        <w:trPr>
          <w:tblHeader/>
        </w:trPr>
        <w:tc>
          <w:tcPr>
            <w:tcW w:type="dxa" w:w="22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Parameter</w:t>
            </w:r>
          </w:p>
        </w:tc>
        <w:tc>
          <w:tcPr>
            <w:tcW w:type="dxa" w:w="15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Value</w:t>
            </w:r>
          </w:p>
        </w:tc>
        <w:tc>
          <w:tcPr>
            <w:tcW w:type="dxa" w:w="2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Validation Method</w:t>
            </w:r>
          </w:p>
        </w:tc>
        <w:tc>
          <w:tcPr>
            <w:tcW w:type="dxa" w:w="39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Notes</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TOP_N (holdings)</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Walk-Forward 5 windows</w:t>
            </w:r>
          </w:p>
        </w:tc>
        <w:tc>
          <w:tcPr>
            <w:tcW w:type="dxa" w:w="39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Best avg OOS Sharpe, no catastrophic window</w:t>
            </w:r>
          </w:p>
        </w:tc>
      </w:tr>
      <w:tr>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ATR_STOP_MULT</w:t>
            </w:r>
          </w:p>
        </w:tc>
        <w:tc>
          <w:tcPr>
            <w:tcW w:type="dxa" w:w="15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1.5×</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Pre-locked</w:t>
            </w:r>
          </w:p>
        </w:tc>
        <w:tc>
          <w:tcPr>
            <w:tcW w:type="dxa" w:w="39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Locked before WF search</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TRAILING_STOP_MULT</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1.5×</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Pre-locked</w:t>
            </w:r>
          </w:p>
        </w:tc>
        <w:tc>
          <w:tcPr>
            <w:tcW w:type="dxa" w:w="39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Locked before WF search</w:t>
            </w:r>
          </w:p>
        </w:tc>
      </w:tr>
      <w:tr>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TRAILING_ACTIVATE</w:t>
            </w:r>
          </w:p>
        </w:tc>
        <w:tc>
          <w:tcPr>
            <w:tcW w:type="dxa" w:w="15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0.5× ATR</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Pre-locked</w:t>
            </w:r>
          </w:p>
        </w:tc>
        <w:tc>
          <w:tcPr>
            <w:tcW w:type="dxa" w:w="39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Locked before WF search</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HOLDING_BONUS</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0.0</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Walk-Forward</w:t>
            </w:r>
          </w:p>
        </w:tc>
        <w:tc>
          <w:tcPr>
            <w:tcW w:type="dxa" w:w="39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5/6 windows selected 0.0</w:t>
            </w:r>
          </w:p>
        </w:tc>
      </w:tr>
      <w:tr>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MR RSI_ENTRY</w:t>
            </w:r>
          </w:p>
        </w:tc>
        <w:tc>
          <w:tcPr>
            <w:tcW w:type="dxa" w:w="15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28</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Walk-Forward 5 windows</w:t>
            </w:r>
          </w:p>
        </w:tc>
        <w:tc>
          <w:tcPr>
            <w:tcW w:type="dxa" w:w="39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All 5 windows selected RSI=28</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MR BB_THRESHOLD</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0.05</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Fixed</w:t>
            </w:r>
          </w:p>
        </w:tc>
        <w:tc>
          <w:tcPr>
            <w:tcW w:type="dxa" w:w="39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Near lower Bollinger Band</w:t>
            </w:r>
          </w:p>
        </w:tc>
      </w:tr>
      <w:tr>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MR ATR_STOP</w:t>
            </w:r>
          </w:p>
        </w:tc>
        <w:tc>
          <w:tcPr>
            <w:tcW w:type="dxa" w:w="15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Fixed</w:t>
            </w:r>
          </w:p>
        </w:tc>
        <w:tc>
          <w:tcPr>
            <w:tcW w:type="dxa" w:w="39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Wider stop for counter-trend</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MR MAX_HOLD</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8 days</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Fixed</w:t>
            </w:r>
          </w:p>
        </w:tc>
        <w:tc>
          <w:tcPr>
            <w:tcW w:type="dxa" w:w="39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Time-based exit discipline</w:t>
            </w:r>
          </w:p>
        </w:tc>
      </w:tr>
      <w:tr>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ED MIN_BEAT_RATE</w:t>
            </w:r>
          </w:p>
        </w:tc>
        <w:tc>
          <w:tcPr>
            <w:tcW w:type="dxa" w:w="15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60%</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Walk-Forward 5 windows</w:t>
            </w:r>
          </w:p>
        </w:tc>
        <w:tc>
          <w:tcPr>
            <w:tcW w:type="dxa" w:w="39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All 5 windows selected 0.60</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ED ENTRY_WINDOW</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3 days</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Fixed</w:t>
            </w:r>
          </w:p>
        </w:tc>
        <w:tc>
          <w:tcPr>
            <w:tcW w:type="dxa" w:w="39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Pre-earnings window</w:t>
            </w:r>
          </w:p>
        </w:tc>
      </w:tr>
      <w:tr>
        <w:tc>
          <w:tcPr>
            <w:tcW w:type="dxa" w:w="22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Slippage</w:t>
            </w:r>
          </w:p>
        </w:tc>
        <w:tc>
          <w:tcPr>
            <w:tcW w:type="dxa" w:w="15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0.1% per side</w:t>
            </w:r>
          </w:p>
        </w:tc>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Conservative estimate</w:t>
            </w:r>
          </w:p>
        </w:tc>
        <w:tc>
          <w:tcPr>
            <w:tcW w:type="dxa" w:w="39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Both entry and exit</w:t>
            </w:r>
          </w:p>
        </w:tc>
      </w:tr>
      <w:tr>
        <w:tc>
          <w:tcPr>
            <w:tcW w:type="dxa" w:w="22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Liquidity Filter</w:t>
            </w:r>
          </w:p>
        </w:tc>
        <w:tc>
          <w:tcPr>
            <w:tcW w:type="dxa" w:w="15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500K avg vol</w:t>
            </w:r>
          </w:p>
        </w:tc>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Fixed</w:t>
            </w:r>
          </w:p>
        </w:tc>
        <w:tc>
          <w:tcPr>
            <w:tcW w:type="dxa" w:w="39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Conservative liquidity</w:t>
            </w:r>
          </w:p>
        </w:tc>
      </w:tr>
    </w:tbl>
    <w:p>
      <w:pPr>
        <w:spacing w:after="80" w:before="0"/>
      </w:pPr>
    </w:p>
    <w:p>
      <w:r>
        <w:br w:type="page"/>
      </w:r>
    </w:p>
    <w:p>
      <w:pPr>
        <w:pStyle w:val="Heading1"/>
        <w:shd w:fill="1a2744" w:val="clear"/>
        <w:spacing w:after="160" w:before="280"/>
      </w:pPr>
      <w:r>
        <w:rPr>
          <w:b/>
          <w:bCs/>
          <w:color w:val="FFFFFF"/>
          <w:sz w:val="32"/>
          <w:szCs w:val="32"/>
        </w:rPr>
        <w:t xml:space="preserve">SECTION 10: GLOSSARY OF TERMS</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400"/>
        <w:gridCol w:w="7680"/>
      </w:tblGrid>
      <w:tr>
        <w:trPr>
          <w:tblHeader/>
        </w:trPr>
        <w:tc>
          <w:tcPr>
            <w:tcW w:type="dxa" w:w="2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Term</w:t>
            </w:r>
          </w:p>
        </w:tc>
        <w:tc>
          <w:tcPr>
            <w:tcW w:type="dxa" w:w="76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Definition</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Sharpe Ratio</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Risk-adjusted return: (Annual Return - Risk Free Rate) / Annual Volatility. Higher is better. A ratio above 2.0 is considered excellent; above 3.0 is exceptional.</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Walk-Forward Validation</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 backtesting methodology where parameters are trained on historical data, then tested on unseen future data — repeated across multiple rolling windows.</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OOS (Out-of-Sample)</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Data that was never seen during model training or parameter selection. OOS results are the most reliable indicator of future performance.</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IS (In-Sample)</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Data used to train the model or optimise parameters. IS results are always expected to be better than OOS.</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Overfitting Decay</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(IS Sharpe - OOS Sharpe) / IS Sharpe. Measures how much performance deteriorates from training to live-equivalent testing.</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CAGR</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Compound Annual Growth Rate — the annualised return assuming profits are reinvested.</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ATR</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Average True Range — a measure of recent price volatility. Used to set dynamic stop-loss levels proportional to each stock's typical daily movement.</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Drawdown</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The decline in portfolio value from a peak to a subsequent trough. Maximum Drawdown is the largest such decline over a given period.</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Regime</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Classification of current market condition: Strong Bull / Bull / Choppy / Bear. Drives strategy allocation and stock universe selection.</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Paper Trading</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Live simulation using real market prices but no real capital. Used to validate system execution before deploying real funds.</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Mean Reversion</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The tendency of prices to revert to their historical average after extreme moves. The MR strategy exploits oversold conditions.</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Momentum</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The tendency of assets that have recently outperformed to continue outperforming in the short to medium term. The core V4 strategy exploits this.</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Event-Driven</w:t>
            </w:r>
          </w:p>
        </w:tc>
        <w:tc>
          <w:tcPr>
            <w:tcW w:type="dxa" w:w="76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Strategies that profit from predictable price movements around specific corporate events (e.g., earnings announcements).</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Factor</w:t>
            </w:r>
          </w:p>
        </w:tc>
        <w:tc>
          <w:tcPr>
            <w:tcW w:type="dxa" w:w="76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 measurable characteristic of a stock (e.g., 1-month momentum, RSI) used as an input to the scoring model.</w:t>
            </w:r>
          </w:p>
        </w:tc>
      </w:tr>
    </w:tbl>
    <w:p>
      <w:pPr>
        <w:spacing w:after="80" w:before="0"/>
      </w:pPr>
    </w:p>
    <w:p>
      <w:r>
        <w:br w:type="page"/>
      </w:r>
    </w:p>
    <w:p>
      <w:pPr>
        <w:pStyle w:val="Heading1"/>
        <w:shd w:fill="1a2744" w:val="clear"/>
        <w:spacing w:after="160" w:before="280"/>
      </w:pPr>
      <w:r>
        <w:rPr>
          <w:b/>
          <w:bCs/>
          <w:color w:val="FFFFFF"/>
          <w:sz w:val="32"/>
          <w:szCs w:val="32"/>
        </w:rPr>
        <w:t xml:space="preserve">APPENDIX: DATA SOURCES &amp; AUDIT TRAIL</w:t>
      </w:r>
    </w:p>
    <w:p>
      <w:pPr>
        <w:spacing w:after="60" w:before="0"/>
      </w:pPr>
    </w:p>
    <w:tbl>
      <w:tblPr>
        <w:tblW w:type="dxa" w:w="10080"/>
        <w:tblBorders>
          <w:top w:val="single" w:color="AACCDD" w:sz="4"/>
          <w:left w:val="single" w:color="AACCDD" w:sz="4"/>
          <w:bottom w:val="single" w:color="AACCDD" w:sz="4"/>
          <w:right w:val="single" w:color="AACCDD" w:sz="4"/>
          <w:insideH w:val="single" w:color="auto" w:sz="4"/>
          <w:insideV w:val="single" w:color="auto" w:sz="4"/>
        </w:tblBorders>
      </w:tblPr>
      <w:tblGrid>
        <w:gridCol w:w="2400"/>
        <w:gridCol w:w="2600"/>
        <w:gridCol w:w="1800"/>
        <w:gridCol w:w="3280"/>
      </w:tblGrid>
      <w:tr>
        <w:trPr>
          <w:tblHeader/>
        </w:trPr>
        <w:tc>
          <w:tcPr>
            <w:tcW w:type="dxa" w:w="24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Data Source</w:t>
            </w:r>
          </w:p>
        </w:tc>
        <w:tc>
          <w:tcPr>
            <w:tcW w:type="dxa" w:w="26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Provider</w:t>
            </w:r>
          </w:p>
        </w:tc>
        <w:tc>
          <w:tcPr>
            <w:tcW w:type="dxa" w:w="180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Coverage</w:t>
            </w:r>
          </w:p>
        </w:tc>
        <w:tc>
          <w:tcPr>
            <w:tcW w:type="dxa" w:w="32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pPr>
              <w:spacing w:after="60" w:before="60"/>
              <w:jc w:val="left"/>
            </w:pPr>
            <w:r>
              <w:rPr>
                <w:b/>
                <w:bCs/>
                <w:color w:val="1a2744"/>
                <w:sz w:val="18"/>
                <w:szCs w:val="18"/>
              </w:rPr>
              <w:t xml:space="preserve">Usage</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OHLCV Price Data</w:t>
            </w:r>
          </w:p>
        </w:tc>
        <w:tc>
          <w:tcPr>
            <w:tcW w:type="dxa" w:w="26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Alpha Vantage</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2018–2026</w:t>
            </w:r>
          </w:p>
        </w:tc>
        <w:tc>
          <w:tcPr>
            <w:tcW w:type="dxa" w:w="32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All strategy backtests</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Earnings Data</w:t>
            </w:r>
          </w:p>
        </w:tc>
        <w:tc>
          <w:tcPr>
            <w:tcW w:type="dxa" w:w="26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Alpha Vantage Earnings API</w:t>
            </w:r>
          </w:p>
        </w:tc>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2018–2026</w:t>
            </w:r>
          </w:p>
        </w:tc>
        <w:tc>
          <w:tcPr>
            <w:tcW w:type="dxa" w:w="32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Event-Driven strategy</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Fundamental Data</w:t>
            </w:r>
          </w:p>
        </w:tc>
        <w:tc>
          <w:tcPr>
            <w:tcW w:type="dxa" w:w="26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Alpha Vantage</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2018–2026</w:t>
            </w:r>
          </w:p>
        </w:tc>
        <w:tc>
          <w:tcPr>
            <w:tcW w:type="dxa" w:w="32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Factor scoring</w:t>
            </w:r>
          </w:p>
        </w:tc>
      </w:tr>
      <w:tr>
        <w:tc>
          <w:tcPr>
            <w:tcW w:type="dxa" w:w="24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Benchmark</w:t>
            </w:r>
          </w:p>
        </w:tc>
        <w:tc>
          <w:tcPr>
            <w:tcW w:type="dxa" w:w="26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S&amp;P 500 (SPY ETF)</w:t>
            </w:r>
          </w:p>
        </w:tc>
        <w:tc>
          <w:tcPr>
            <w:tcW w:type="dxa" w:w="180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2018–2026</w:t>
            </w:r>
          </w:p>
        </w:tc>
        <w:tc>
          <w:tcPr>
            <w:tcW w:type="dxa" w:w="3280"/>
            <w:tcBorders>
              <w:top w:val="single" w:color="AACCDD" w:sz="4"/>
              <w:left w:val="single" w:color="AACCDD" w:sz="4"/>
              <w:bottom w:val="single" w:color="AACCDD" w:sz="4"/>
              <w:right w:val="single" w:color="AACCDD" w:sz="4"/>
            </w:tcBorders>
            <w:shd w:fill="EEF5F9"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Performance comparison</w:t>
            </w:r>
          </w:p>
        </w:tc>
      </w:tr>
      <w:tr>
        <w:tc>
          <w:tcPr>
            <w:tcW w:type="dxa" w:w="24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VIX</w:t>
            </w:r>
          </w:p>
        </w:tc>
        <w:tc>
          <w:tcPr>
            <w:tcW w:type="dxa" w:w="26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CBOE VIX Index</w:t>
            </w:r>
          </w:p>
        </w:tc>
        <w:tc>
          <w:tcPr>
            <w:tcW w:type="dxa" w:w="180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2018–2026</w:t>
            </w:r>
          </w:p>
        </w:tc>
        <w:tc>
          <w:tcPr>
            <w:tcW w:type="dxa" w:w="3280"/>
            <w:tcBorders>
              <w:top w:val="single" w:color="AACCDD" w:sz="4"/>
              <w:left w:val="single" w:color="AACCDD" w:sz="4"/>
              <w:bottom w:val="single" w:color="AACCDD" w:sz="4"/>
              <w:right w:val="single" w:color="AACCDD" w:sz="4"/>
            </w:tcBorders>
            <w:shd w:fill="FFFFFF" w:val="clear"/>
            <w:tcMar>
              <w:top w:type="dxa" w:w="80"/>
              <w:left w:type="dxa" w:w="120"/>
              <w:bottom w:type="dxa" w:w="80"/>
              <w:right w:type="dxa" w:w="120"/>
            </w:tcMar>
            <w:vAlign w:val="center"/>
          </w:tcPr>
          <w:p>
            <w:pPr>
              <w:spacing w:after="60" w:before="60"/>
              <w:jc w:val="left"/>
            </w:pPr>
            <w:r>
              <w:rPr>
                <w:b w:val="false"/>
                <w:bCs w:val="false"/>
                <w:color w:val="333333"/>
                <w:sz w:val="18"/>
                <w:szCs w:val="18"/>
              </w:rPr>
              <w:t xml:space="preserve">Risk management</w:t>
            </w:r>
          </w:p>
        </w:tc>
      </w:tr>
    </w:tbl>
    <w:p>
      <w:pPr>
        <w:spacing w:after="120" w:before="0"/>
      </w:pPr>
    </w:p>
    <w:p>
      <w:pPr>
        <w:pStyle w:val="Heading2"/>
        <w:pBdr>
          <w:bottom w:val="single" w:color="2C4A8C" w:sz="6"/>
        </w:pBdr>
        <w:spacing w:after="100" w:before="200"/>
      </w:pPr>
      <w:r>
        <w:rPr>
          <w:b/>
          <w:bCs/>
          <w:color w:val="1a2744"/>
          <w:sz w:val="24"/>
          <w:szCs w:val="24"/>
        </w:rPr>
        <w:t xml:space="preserve">Survivorship Bias Note</w:t>
      </w:r>
    </w:p>
    <w:p>
      <w:pPr>
        <w:spacing w:after="60" w:before="60"/>
        <w:jc w:val="left"/>
      </w:pPr>
      <w:r>
        <w:rPr>
          <w:b w:val="false"/>
          <w:bCs w:val="false"/>
          <w:i w:val="false"/>
          <w:iCs w:val="false"/>
          <w:color w:val="333333"/>
          <w:sz w:val="20"/>
          <w:szCs w:val="20"/>
        </w:rPr>
        <w:t xml:space="preserve">The walk-forward backtests use Point-in-Time (PIT) stock universe construction. Stocks are only eligible for inclusion in each window if they were trading at the START of that window — preventing look-ahead bias from including stocks that only became prominent in hindsight.</w:t>
      </w:r>
    </w:p>
    <w:p>
      <w:pPr>
        <w:spacing w:after="120" w:before="0"/>
      </w:pPr>
    </w:p>
    <w:p>
      <w:pPr>
        <w:pStyle w:val="Heading2"/>
        <w:pBdr>
          <w:bottom w:val="single" w:color="2C4A8C" w:sz="6"/>
        </w:pBdr>
        <w:spacing w:after="100" w:before="200"/>
      </w:pPr>
      <w:r>
        <w:rPr>
          <w:b/>
          <w:bCs/>
          <w:color w:val="1a2744"/>
          <w:sz w:val="24"/>
          <w:szCs w:val="24"/>
        </w:rPr>
        <w:t xml:space="preserve">Walk-Forward Scripts</w:t>
      </w:r>
    </w:p>
    <w:p>
      <w:pPr>
        <w:pStyle w:val="ListParagraph"/>
        <w:numPr>
          <w:ilvl w:val="0"/>
          <w:numId w:val="2"/>
        </w:numPr>
        <w:spacing w:after="40" w:before="40"/>
      </w:pPr>
      <w:r>
        <w:rPr>
          <w:b w:val="false"/>
          <w:bCs w:val="false"/>
          <w:color w:val="333333"/>
          <w:sz w:val="20"/>
          <w:szCs w:val="20"/>
        </w:rPr>
        <w:t xml:space="preserve">Primary: scripts/walk_forward_v5_full.py</w:t>
      </w:r>
    </w:p>
    <w:p>
      <w:pPr>
        <w:pStyle w:val="ListParagraph"/>
        <w:numPr>
          <w:ilvl w:val="0"/>
          <w:numId w:val="2"/>
        </w:numPr>
        <w:spacing w:after="40" w:before="40"/>
      </w:pPr>
      <w:r>
        <w:rPr>
          <w:b w:val="false"/>
          <w:bCs w:val="false"/>
          <w:color w:val="333333"/>
          <w:sz w:val="20"/>
          <w:szCs w:val="20"/>
        </w:rPr>
        <w:t xml:space="preserve">Sensitivity Analysis: scripts/sensitivity_test.py</w:t>
      </w:r>
    </w:p>
    <w:p>
      <w:pPr>
        <w:pStyle w:val="ListParagraph"/>
        <w:numPr>
          <w:ilvl w:val="0"/>
          <w:numId w:val="2"/>
        </w:numPr>
        <w:spacing w:after="40" w:before="40"/>
      </w:pPr>
      <w:r>
        <w:rPr>
          <w:b w:val="false"/>
          <w:bCs w:val="false"/>
          <w:color w:val="333333"/>
          <w:sz w:val="20"/>
          <w:szCs w:val="20"/>
        </w:rPr>
        <w:t xml:space="preserve">Results: scripts/stress_test_results/ directory</w:t>
      </w:r>
    </w:p>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744" w:val="clear"/>
            <w:tcMar>
              <w:top w:type="dxa" w:w="160"/>
              <w:left w:type="dxa" w:w="300"/>
              <w:bottom w:type="dxa" w:w="160"/>
              <w:right w:type="dxa" w:w="300"/>
            </w:tcMar>
          </w:tcPr>
          <w:p>
            <w:pPr>
              <w:spacing w:after="80" w:before="80"/>
            </w:pPr>
            <w:r>
              <w:rPr>
                <w:b/>
                <w:bCs/>
                <w:color w:val="FFFFFF"/>
                <w:sz w:val="22"/>
                <w:szCs w:val="22"/>
              </w:rPr>
              <w:t xml:space="preserve">CONTACT</w:t>
            </w:r>
          </w:p>
          <w:p>
            <w:pPr>
              <w:spacing w:after="40" w:before="40"/>
            </w:pPr>
            <w:r>
              <w:rPr>
                <w:color w:val="FFFFFF"/>
                <w:sz w:val="20"/>
                <w:szCs w:val="20"/>
              </w:rPr>
              <w:t xml:space="preserve">Pengyu Deng — Co-Founder &amp; CEO</w:t>
            </w:r>
          </w:p>
          <w:p>
            <w:pPr>
              <w:spacing w:after="40" w:before="40"/>
            </w:pPr>
            <w:r>
              <w:rPr>
                <w:color w:val="A8C8E8"/>
                <w:sz w:val="20"/>
                <w:szCs w:val="20"/>
              </w:rPr>
              <w:t xml:space="preserve">Stockqueen Technology Pty Ltd</w:t>
            </w:r>
          </w:p>
          <w:p>
            <w:pPr>
              <w:spacing w:after="80" w:before="40"/>
            </w:pPr>
            <w:r>
              <w:rPr>
                <w:color w:val="A8C8E8"/>
                <w:sz w:val="20"/>
                <w:szCs w:val="20"/>
              </w:rPr>
              <w:t xml:space="preserve">Website: stockqueen.tech</w:t>
            </w:r>
          </w:p>
        </w:tc>
      </w:tr>
    </w:tbl>
    <w:p>
      <w:pPr>
        <w:spacing w:after="120" w:before="0"/>
      </w:pPr>
    </w:p>
    <w:p>
      <w:pPr>
        <w:spacing w:after="80" w:before="80"/>
        <w:jc w:val="center"/>
      </w:pPr>
      <w:r>
        <w:rPr>
          <w:b/>
          <w:bCs/>
          <w:color w:val="888888"/>
          <w:sz w:val="18"/>
          <w:szCs w:val="18"/>
        </w:rPr>
        <w:t xml:space="preserve">PRIVATE &amp; CONFIDENTIAL — March 2026</w:t>
      </w:r>
    </w:p>
    <w:sectPr>
      <w:footerReference w:type="default" r:id="rId8"/>
      <w:pgSz w:w="12240" w:h="15840" w:orient="portrait"/>
      <w:pgMar w:top="108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color w:val="888888"/>
        <w:sz w:val="16"/>
        <w:szCs w:val="16"/>
      </w:rPr>
      <w:t xml:space="preserve">PRIVATE &amp; CONFIDENTIAL  —  Stockqueen Technology Data Pack  —  March 2026  |  Page </w:t>
    </w:r>
    <w:fldSimple w:instr="PAG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color w:val="888888"/>
        <w:sz w:val="16"/>
        <w:szCs w:val="16"/>
      </w:rPr>
      <w:t xml:space="preserve">PRIVATE &amp; CONFIDENTIAL  —  Stockqueen Technology Data Pack  —  March 2026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rPr>
        <w:rFonts w:ascii="Symbol" w:cs="Symbol" w:eastAsia="Symbol" w:hAnsi="Symbo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160" w:before="280"/>
      <w:outlineLvl w:val="0"/>
    </w:pPr>
    <w:rPr>
      <w:rFonts w:ascii="Calibri" w:cs="Calibri" w:eastAsia="Calibri" w:hAnsi="Calibri"/>
      <w:b/>
      <w:bCs/>
      <w:color w:val="FFFFFF"/>
      <w:sz w:val="32"/>
      <w:szCs w:val="32"/>
    </w:rPr>
  </w:style>
  <w:style w:type="paragraph" w:styleId="Heading2">
    <w:name w:val="Heading 2"/>
    <w:basedOn w:val="Normal"/>
    <w:qFormat/>
    <w:pPr>
      <w:spacing w:after="100" w:before="200"/>
      <w:outlineLvl w:val="1"/>
    </w:pPr>
    <w:rPr>
      <w:rFonts w:ascii="Calibri" w:cs="Calibri" w:eastAsia="Calibri" w:hAnsi="Calibri"/>
      <w:b/>
      <w:bCs/>
      <w:color w:val="1a2744"/>
      <w:sz w:val="24"/>
      <w:szCs w:val="24"/>
    </w:rPr>
  </w:style>
  <w:style w:type="paragraph" w:styleId="Normal">
    <w:name w:val="Normal"/>
    <w:pPr>
      <w:spacing w:after="60" w:before="60"/>
    </w:pPr>
    <w:rPr>
      <w:rFonts w:ascii="Calibri" w:cs="Calibri" w:eastAsia="Calibri" w:hAnsi="Calibri"/>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2026-03-21T06:34:13.465Z</dcterms:created>
  <dcterms:modified xsi:type="dcterms:W3CDTF">2026-03-21T06:34:13.466Z</dcterms:modified>
</cp:coreProperties>
</file>

<file path=docProps/custom.xml><?xml version="1.0" encoding="utf-8"?>
<Properties xmlns="http://schemas.openxmlformats.org/officeDocument/2006/custom-properties" xmlns:vt="http://schemas.openxmlformats.org/officeDocument/2006/docPropsVTypes"/>
</file>