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Override ContentType="application/vnd.openxmlformats-officedocument.wordprocessingml.footer+xml" PartName="/word/footer1.xml"/>
  <Override ContentType="application/vnd.openxmlformats-officedocument.wordprocessingml.footer+xml" PartName="/word/footer2.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1440" w:before="0"/>
      </w:pPr>
    </w:p>
    <w:p>
      <w:pPr>
        <w:spacing w:after="200" w:before="0"/>
        <w:jc w:val="center"/>
      </w:pPr>
      <w:r>
        <w:rPr>
          <w:rFonts w:ascii="Calibri" w:cs="Calibri" w:eastAsia="Calibri" w:hAnsi="Calibri"/>
          <w:b/>
          <w:bCs/>
          <w:color w:val="1a2744"/>
          <w:sz w:val="52"/>
          <w:szCs w:val="52"/>
        </w:rPr>
        <w:t xml:space="preserve">QUANTITATIVE STRATEGY DATA PACK</w:t>
      </w:r>
    </w:p>
    <w:p>
      <w:pPr>
        <w:spacing w:after="600" w:before="0"/>
        <w:jc w:val="center"/>
      </w:pPr>
      <w:r>
        <w:rPr>
          <w:rFonts w:ascii="Calibri" w:cs="Calibri" w:eastAsia="Calibri" w:hAnsi="Calibri"/>
          <w:i/>
          <w:iCs/>
          <w:color w:val="2C4A8C"/>
          <w:sz w:val="32"/>
          <w:szCs w:val="32"/>
        </w:rPr>
        <w:t xml:space="preserve">Technical Performance Validation &amp; Model Methodology</w:t>
      </w:r>
    </w:p>
    <w:tbl>
      <w:tblPr>
        <w:tblW w:type="dxa" w:w="10080"/>
        <w:tblBorders>
          <w:top w:val="single" w:color="auto" w:sz="4"/>
          <w:left w:val="single" w:color="auto" w:sz="4"/>
          <w:bottom w:val="single" w:color="auto" w:sz="4"/>
          <w:right w:val="single" w:color="auto" w:sz="4"/>
          <w:insideH w:val="single" w:color="auto" w:sz="4"/>
          <w:insideV w:val="single" w:color="auto" w:sz="4"/>
        </w:tblBorders>
      </w:tblPr>
      <w:tblGrid>
        <w:gridCol w:w="10080"/>
      </w:tblGrid>
      <w:tr>
        <w:tc>
          <w:tcPr>
            <w:tcW w:type="dxa" w:w="10080"/>
            <w:tcBorders>
              <w:top w:val="none" w:color="FFFFFF" w:sz="0"/>
              <w:left w:val="none" w:color="FFFFFF" w:sz="0"/>
              <w:bottom w:val="none" w:color="FFFFFF" w:sz="0"/>
              <w:right w:val="none" w:color="FFFFFF" w:sz="0"/>
            </w:tcBorders>
            <w:shd w:fill="1a2744" w:val="clear"/>
            <w:tcMar>
              <w:top w:type="dxa" w:w="200"/>
              <w:left w:type="dxa" w:w="400"/>
              <w:bottom w:type="dxa" w:w="200"/>
              <w:right w:type="dxa" w:w="400"/>
            </w:tcMar>
          </w:tcPr>
          <w:p>
            <w:pPr>
              <w:spacing w:after="80" w:before="120"/>
              <w:jc w:val="center"/>
            </w:pPr>
            <w:r>
              <w:rPr>
                <w:rFonts w:ascii="Calibri" w:cs="Calibri" w:eastAsia="Calibri" w:hAnsi="Calibri"/>
                <w:b/>
                <w:bCs/>
                <w:color w:val="FFFFFF"/>
                <w:sz w:val="28"/>
                <w:szCs w:val="28"/>
              </w:rPr>
              <w:t xml:space="preserve">Stockqueen Technology Pty Ltd</w:t>
            </w:r>
          </w:p>
          <w:p>
            <w:pPr>
              <w:spacing w:after="120" w:before="0"/>
              <w:jc w:val="center"/>
            </w:pPr>
            <w:r>
              <w:rPr>
                <w:rFonts w:ascii="Calibri" w:cs="Calibri" w:eastAsia="Calibri" w:hAnsi="Calibri"/>
                <w:color w:val="A8C8E8"/>
                <w:sz w:val="22"/>
                <w:szCs w:val="22"/>
              </w:rPr>
              <w:t xml:space="preserve">stockqueen.tech</w:t>
            </w:r>
          </w:p>
        </w:tc>
      </w:tr>
    </w:tbl>
    <w:p>
      <w:pPr>
        <w:spacing w:after="600" w:before="0"/>
      </w:pPr>
    </w:p>
    <w:p>
      <w:pPr>
        <w:spacing w:after="200" w:before="0"/>
        <w:jc w:val="center"/>
      </w:pPr>
      <w:r>
        <w:rPr>
          <w:rFonts w:ascii="Calibri" w:cs="Calibri" w:eastAsia="Calibri" w:hAnsi="Calibri"/>
          <w:color w:val="333333"/>
          <w:sz w:val="26"/>
          <w:szCs w:val="26"/>
        </w:rPr>
        <w:t xml:space="preserve">March 2026</w:t>
      </w:r>
    </w:p>
    <w:tbl>
      <w:tblPr>
        <w:tblW w:type="dxa" w:w="10080"/>
        <w:tblBorders>
          <w:top w:val="single" w:color="auto" w:sz="4"/>
          <w:left w:val="single" w:color="auto" w:sz="4"/>
          <w:bottom w:val="single" w:color="auto" w:sz="4"/>
          <w:right w:val="single" w:color="auto" w:sz="4"/>
          <w:insideH w:val="single" w:color="auto" w:sz="4"/>
          <w:insideV w:val="single" w:color="auto" w:sz="4"/>
        </w:tblBorders>
      </w:tblPr>
      <w:tblGrid>
        <w:gridCol w:w="10080"/>
      </w:tblGrid>
      <w:tr>
        <w:tc>
          <w:tcPr>
            <w:tcW w:type="dxa" w:w="10080"/>
            <w:tcBorders>
              <w:top w:val="single" w:color="8B0000" w:sz="8"/>
              <w:left w:val="single" w:color="8B0000" w:sz="8"/>
              <w:bottom w:val="single" w:color="8B0000" w:sz="8"/>
              <w:right w:val="single" w:color="8B0000" w:sz="8"/>
            </w:tcBorders>
            <w:shd w:fill="FFF3F3" w:val="clear"/>
            <w:tcMar>
              <w:top w:type="dxa" w:w="120"/>
              <w:left w:type="dxa" w:w="300"/>
              <w:bottom w:type="dxa" w:w="120"/>
              <w:right w:type="dxa" w:w="300"/>
            </w:tcMar>
          </w:tcPr>
          <w:p>
            <w:pPr>
              <w:spacing w:after="120" w:before="120"/>
              <w:jc w:val="center"/>
            </w:pPr>
            <w:r>
              <w:rPr>
                <w:rFonts w:ascii="Calibri" w:cs="Calibri" w:eastAsia="Calibri" w:hAnsi="Calibri"/>
                <w:b/>
                <w:bCs/>
                <w:color w:val="8B0000"/>
                <w:sz w:val="20"/>
                <w:szCs w:val="20"/>
              </w:rPr>
              <w:t xml:space="preserve">PRIVATE &amp; CONFIDENTIAL — FOR INVESTOR USE ONLY</w:t>
            </w:r>
          </w:p>
        </w:tc>
      </w:tr>
    </w:tbl>
    <w:p>
      <w:r>
        <w:br w:type="page"/>
      </w:r>
    </w:p>
    <w:p>
      <w:pPr>
        <w:sectPr>
          <w:footerReference w:type="default" r:id="rId7"/>
          <w:pgSz w:w="12240" w:h="15840" w:orient="portrait"/>
          <w:pgMar w:top="1080" w:right="1080" w:bottom="1080" w:left="1080" w:header="708" w:footer="708" w:gutter="0"/>
          <w:pgNumType/>
          <w:docGrid w:linePitch="360"/>
        </w:sectPr>
      </w:pPr>
    </w:p>
    <w:tbl>
      <w:tblPr>
        <w:tblW w:type="dxa" w:w="10080"/>
        <w:tblBorders>
          <w:top w:val="single" w:color="auto" w:sz="4"/>
          <w:left w:val="single" w:color="auto" w:sz="4"/>
          <w:bottom w:val="single" w:color="auto" w:sz="4"/>
          <w:right w:val="single" w:color="auto" w:sz="4"/>
          <w:insideH w:val="single" w:color="auto" w:sz="4"/>
          <w:insideV w:val="single" w:color="auto" w:sz="4"/>
        </w:tblBorders>
      </w:tblPr>
      <w:tblGrid>
        <w:gridCol w:w="10080"/>
      </w:tblGrid>
      <w:tr>
        <w:tc>
          <w:tcPr>
            <w:tcW w:type="dxa" w:w="10080"/>
            <w:tcBorders>
              <w:top w:val="single" w:color="8B0000" w:sz="12"/>
              <w:left w:val="single" w:color="8B0000" w:sz="12"/>
              <w:bottom w:val="single" w:color="8B0000" w:sz="12"/>
              <w:right w:val="single" w:color="8B0000" w:sz="12"/>
            </w:tcBorders>
            <w:shd w:fill="FFF3F3" w:val="clear"/>
            <w:tcMar>
              <w:top w:type="dxa" w:w="160"/>
              <w:left w:type="dxa" w:w="240"/>
              <w:bottom w:type="dxa" w:w="160"/>
              <w:right w:type="dxa" w:w="240"/>
            </w:tcMar>
          </w:tcPr>
          <w:p>
            <w:pPr>
              <w:spacing w:after="80" w:before="60"/>
            </w:pPr>
            <w:r>
              <w:rPr>
                <w:b/>
                <w:bCs/>
                <w:color w:val="8B0000"/>
                <w:sz w:val="20"/>
                <w:szCs w:val="20"/>
              </w:rPr>
              <w:t xml:space="preserve">IMPORTANT DISCLAIMER</w:t>
            </w:r>
          </w:p>
          <w:p>
            <w:pPr>
              <w:spacing w:after="60" w:before="0"/>
            </w:pPr>
            <w:r>
              <w:rPr>
                <w:i/>
                <w:iCs/>
                <w:color w:val="8B0000"/>
                <w:sz w:val="18"/>
                <w:szCs w:val="18"/>
              </w:rPr>
              <w:t xml:space="preserve">The performance figures in this document are based entirely on walk-forward out-of-sample backtesting and paper trading simulation. They do not represent actual live trading returns. Past performance and simulated results are not indicative of future results. This document is intended for informational purposes for prospective investors only.</w:t>
            </w:r>
          </w:p>
        </w:tc>
      </w:tr>
    </w:tbl>
    <w:p>
      <w:pPr>
        <w:spacing w:after="200" w:before="0"/>
      </w:pPr>
    </w:p>
    <w:p>
      <w:pPr>
        <w:pStyle w:val="Heading1"/>
        <w:shd w:fill="1a2744" w:val="clear"/>
        <w:spacing w:after="160" w:before="280"/>
      </w:pPr>
      <w:r>
        <w:rPr>
          <w:b/>
          <w:bCs/>
          <w:color w:val="FFFFFF"/>
          <w:sz w:val="32"/>
          <w:szCs w:val="32"/>
        </w:rPr>
        <w:t xml:space="preserve">SECTION 1: EXECUTIVE PERFORMANCE SUMMARY</w:t>
      </w:r>
    </w:p>
    <w:p>
      <w:pPr>
        <w:spacing w:after="80" w:before="0"/>
      </w:pPr>
    </w:p>
    <w:p>
      <w:pPr>
        <w:pStyle w:val="Heading2"/>
        <w:pBdr>
          <w:bottom w:val="single" w:color="2C4A8C" w:sz="6"/>
        </w:pBdr>
        <w:spacing w:after="100" w:before="200"/>
      </w:pPr>
      <w:r>
        <w:rPr>
          <w:b/>
          <w:bCs/>
          <w:color w:val="1a2744"/>
          <w:sz w:val="24"/>
          <w:szCs w:val="24"/>
        </w:rPr>
        <w:t xml:space="preserve">1.1  Key Metrics at a Glance</w:t>
      </w:r>
    </w:p>
    <w:p>
      <w:pPr>
        <w:spacing w:after="60" w:before="0"/>
      </w:pPr>
    </w:p>
    <w:tbl>
      <w:tblPr>
        <w:tblW w:type="dxa" w:w="10080"/>
        <w:tblBorders>
          <w:top w:val="single" w:color="AACCDD" w:sz="4"/>
          <w:left w:val="single" w:color="AACCDD" w:sz="4"/>
          <w:bottom w:val="single" w:color="AACCDD" w:sz="4"/>
          <w:right w:val="single" w:color="AACCDD" w:sz="4"/>
          <w:insideH w:val="single" w:color="auto" w:sz="4"/>
          <w:insideV w:val="single" w:color="auto" w:sz="4"/>
        </w:tblBorders>
      </w:tblPr>
      <w:tblGrid>
        <w:gridCol w:w="4200"/>
        <w:gridCol w:w="3000"/>
        <w:gridCol w:w="2880"/>
      </w:tblGrid>
      <w:tr>
        <w:trPr>
          <w:tblHeader/>
        </w:trPr>
        <w:tc>
          <w:tcPr>
            <w:tcW w:type="dxa" w:w="4200"/>
            <w:tcBorders>
              <w:top w:val="single" w:color="AACCDD" w:sz="4"/>
              <w:left w:val="single" w:color="AACCDD" w:sz="4"/>
              <w:bottom w:val="single" w:color="AACCDD" w:sz="4"/>
              <w:right w:val="single" w:color="AACCDD" w:sz="4"/>
            </w:tcBorders>
            <w:shd w:fill="D5E8F0" w:val="clear"/>
            <w:tcMar>
              <w:top w:type="dxa" w:w="80"/>
              <w:left w:type="dxa" w:w="120"/>
              <w:bottom w:type="dxa" w:w="80"/>
              <w:right w:type="dxa" w:w="120"/>
            </w:tcMar>
            <w:vAlign w:val="center"/>
          </w:tcPr>
          <w:p>
            <w:pPr>
              <w:spacing w:after="60" w:before="60"/>
              <w:jc w:val="left"/>
            </w:pPr>
            <w:r>
              <w:rPr>
                <w:b/>
                <w:bCs/>
                <w:color w:val="1a2744"/>
                <w:sz w:val="18"/>
                <w:szCs w:val="18"/>
              </w:rPr>
              <w:t xml:space="preserve">Metric</w:t>
            </w:r>
          </w:p>
        </w:tc>
        <w:tc>
          <w:tcPr>
            <w:tcW w:type="dxa" w:w="3000"/>
            <w:tcBorders>
              <w:top w:val="single" w:color="AACCDD" w:sz="4"/>
              <w:left w:val="single" w:color="AACCDD" w:sz="4"/>
              <w:bottom w:val="single" w:color="AACCDD" w:sz="4"/>
              <w:right w:val="single" w:color="AACCDD" w:sz="4"/>
            </w:tcBorders>
            <w:shd w:fill="D5E8F0" w:val="clear"/>
            <w:tcMar>
              <w:top w:type="dxa" w:w="80"/>
              <w:left w:type="dxa" w:w="120"/>
              <w:bottom w:type="dxa" w:w="80"/>
              <w:right w:type="dxa" w:w="120"/>
            </w:tcMar>
            <w:vAlign w:val="center"/>
          </w:tcPr>
          <w:p>
            <w:pPr>
              <w:spacing w:after="60" w:before="60"/>
              <w:jc w:val="left"/>
            </w:pPr>
            <w:r>
              <w:rPr>
                <w:b/>
                <w:bCs/>
                <w:color w:val="1a2744"/>
                <w:sz w:val="18"/>
                <w:szCs w:val="18"/>
              </w:rPr>
              <w:t xml:space="preserve">Value</w:t>
            </w:r>
          </w:p>
        </w:tc>
        <w:tc>
          <w:tcPr>
            <w:tcW w:type="dxa" w:w="2880"/>
            <w:tcBorders>
              <w:top w:val="single" w:color="AACCDD" w:sz="4"/>
              <w:left w:val="single" w:color="AACCDD" w:sz="4"/>
              <w:bottom w:val="single" w:color="AACCDD" w:sz="4"/>
              <w:right w:val="single" w:color="AACCDD" w:sz="4"/>
            </w:tcBorders>
            <w:shd w:fill="D5E8F0" w:val="clear"/>
            <w:tcMar>
              <w:top w:type="dxa" w:w="80"/>
              <w:left w:type="dxa" w:w="120"/>
              <w:bottom w:type="dxa" w:w="80"/>
              <w:right w:type="dxa" w:w="120"/>
            </w:tcMar>
            <w:vAlign w:val="center"/>
          </w:tcPr>
          <w:p>
            <w:pPr>
              <w:spacing w:after="60" w:before="60"/>
              <w:jc w:val="left"/>
            </w:pPr>
            <w:r>
              <w:rPr>
                <w:b/>
                <w:bCs/>
                <w:color w:val="1a2744"/>
                <w:sz w:val="18"/>
                <w:szCs w:val="18"/>
              </w:rPr>
              <w:t xml:space="preserve">Benchmark (S&amp;P 500)</w:t>
            </w:r>
          </w:p>
        </w:tc>
      </w:tr>
      <w:tr>
        <w:tc>
          <w:tcPr>
            <w:tcW w:type="dxa" w:w="4200"/>
            <w:tcBorders>
              <w:top w:val="single" w:color="AACCDD" w:sz="4"/>
              <w:left w:val="single" w:color="AACCDD" w:sz="4"/>
              <w:bottom w:val="single" w:color="AACCDD" w:sz="4"/>
              <w:right w:val="single" w:color="AACCDD" w:sz="4"/>
            </w:tcBorders>
            <w:shd w:fill="FFFFFF" w:val="clear"/>
            <w:tcMar>
              <w:top w:type="dxa" w:w="80"/>
              <w:left w:type="dxa" w:w="120"/>
              <w:bottom w:type="dxa" w:w="80"/>
              <w:right w:type="dxa" w:w="120"/>
            </w:tcMar>
            <w:vAlign w:val="center"/>
          </w:tcPr>
          <w:p>
            <w:pPr>
              <w:spacing w:after="60" w:before="60"/>
              <w:jc w:val="left"/>
            </w:pPr>
            <w:r>
              <w:rPr>
                <w:b w:val="false"/>
                <w:bCs w:val="false"/>
                <w:color w:val="333333"/>
                <w:sz w:val="18"/>
                <w:szCs w:val="18"/>
              </w:rPr>
              <w:t xml:space="preserve">Average OOS Sharpe Ratio (V4 Core)</w:t>
            </w:r>
          </w:p>
        </w:tc>
        <w:tc>
          <w:tcPr>
            <w:tcW w:type="dxa" w:w="3000"/>
            <w:tcBorders>
              <w:top w:val="single" w:color="AACCDD" w:sz="4"/>
              <w:left w:val="single" w:color="AACCDD" w:sz="4"/>
              <w:bottom w:val="single" w:color="AACCDD" w:sz="4"/>
              <w:right w:val="single" w:color="AACCDD" w:sz="4"/>
            </w:tcBorders>
            <w:shd w:fill="FFFFFF" w:val="clear"/>
            <w:tcMar>
              <w:top w:type="dxa" w:w="80"/>
              <w:left w:type="dxa" w:w="120"/>
              <w:bottom w:type="dxa" w:w="80"/>
              <w:right w:type="dxa" w:w="120"/>
            </w:tcMar>
            <w:vAlign w:val="center"/>
          </w:tcPr>
          <w:p>
            <w:pPr>
              <w:spacing w:after="60" w:before="60"/>
              <w:jc w:val="left"/>
            </w:pPr>
            <w:r>
              <w:rPr>
                <w:b w:val="false"/>
                <w:bCs w:val="false"/>
                <w:color w:val="333333"/>
                <w:sz w:val="18"/>
                <w:szCs w:val="18"/>
              </w:rPr>
              <w:t xml:space="preserve">1.70</w:t>
            </w:r>
          </w:p>
        </w:tc>
        <w:tc>
          <w:tcPr>
            <w:tcW w:type="dxa" w:w="2880"/>
            <w:tcBorders>
              <w:top w:val="single" w:color="AACCDD" w:sz="4"/>
              <w:left w:val="single" w:color="AACCDD" w:sz="4"/>
              <w:bottom w:val="single" w:color="AACCDD" w:sz="4"/>
              <w:right w:val="single" w:color="AACCDD" w:sz="4"/>
            </w:tcBorders>
            <w:shd w:fill="FFFFFF" w:val="clear"/>
            <w:tcMar>
              <w:top w:type="dxa" w:w="80"/>
              <w:left w:type="dxa" w:w="120"/>
              <w:bottom w:type="dxa" w:w="80"/>
              <w:right w:type="dxa" w:w="120"/>
            </w:tcMar>
            <w:vAlign w:val="center"/>
          </w:tcPr>
          <w:p>
            <w:pPr>
              <w:spacing w:after="60" w:before="60"/>
              <w:jc w:val="left"/>
            </w:pPr>
            <w:r>
              <w:rPr>
                <w:b w:val="false"/>
                <w:bCs w:val="false"/>
                <w:color w:val="333333"/>
                <w:sz w:val="18"/>
                <w:szCs w:val="18"/>
              </w:rPr>
              <w:t xml:space="preserve">~0.8</w:t>
            </w:r>
          </w:p>
        </w:tc>
      </w:tr>
      <w:tr>
        <w:tc>
          <w:tcPr>
            <w:tcW w:type="dxa" w:w="4200"/>
            <w:tcBorders>
              <w:top w:val="single" w:color="AACCDD" w:sz="4"/>
              <w:left w:val="single" w:color="AACCDD" w:sz="4"/>
              <w:bottom w:val="single" w:color="AACCDD" w:sz="4"/>
              <w:right w:val="single" w:color="AACCDD" w:sz="4"/>
            </w:tcBorders>
            <w:shd w:fill="EEF5F9" w:val="clear"/>
            <w:tcMar>
              <w:top w:type="dxa" w:w="80"/>
              <w:left w:type="dxa" w:w="120"/>
              <w:bottom w:type="dxa" w:w="80"/>
              <w:right w:type="dxa" w:w="120"/>
            </w:tcMar>
            <w:vAlign w:val="center"/>
          </w:tcPr>
          <w:p>
            <w:pPr>
              <w:spacing w:after="60" w:before="60"/>
              <w:jc w:val="left"/>
            </w:pPr>
            <w:r>
              <w:rPr>
                <w:b w:val="false"/>
                <w:bCs w:val="false"/>
                <w:color w:val="333333"/>
                <w:sz w:val="18"/>
                <w:szCs w:val="18"/>
              </w:rPr>
              <w:t xml:space="preserve">Total OOS CAGR</w:t>
            </w:r>
          </w:p>
        </w:tc>
        <w:tc>
          <w:tcPr>
            <w:tcW w:type="dxa" w:w="3000"/>
            <w:tcBorders>
              <w:top w:val="single" w:color="AACCDD" w:sz="4"/>
              <w:left w:val="single" w:color="AACCDD" w:sz="4"/>
              <w:bottom w:val="single" w:color="AACCDD" w:sz="4"/>
              <w:right w:val="single" w:color="AACCDD" w:sz="4"/>
            </w:tcBorders>
            <w:shd w:fill="EEF5F9" w:val="clear"/>
            <w:tcMar>
              <w:top w:type="dxa" w:w="80"/>
              <w:left w:type="dxa" w:w="120"/>
              <w:bottom w:type="dxa" w:w="80"/>
              <w:right w:type="dxa" w:w="120"/>
            </w:tcMar>
            <w:vAlign w:val="center"/>
          </w:tcPr>
          <w:p>
            <w:pPr>
              <w:spacing w:after="60" w:before="60"/>
              <w:jc w:val="left"/>
            </w:pPr>
            <w:r>
              <w:rPr>
                <w:b w:val="false"/>
                <w:bCs w:val="false"/>
                <w:color w:val="333333"/>
                <w:sz w:val="18"/>
                <w:szCs w:val="18"/>
              </w:rPr>
              <w:t xml:space="preserve">~60%</w:t>
            </w:r>
          </w:p>
        </w:tc>
        <w:tc>
          <w:tcPr>
            <w:tcW w:type="dxa" w:w="2880"/>
            <w:tcBorders>
              <w:top w:val="single" w:color="AACCDD" w:sz="4"/>
              <w:left w:val="single" w:color="AACCDD" w:sz="4"/>
              <w:bottom w:val="single" w:color="AACCDD" w:sz="4"/>
              <w:right w:val="single" w:color="AACCDD" w:sz="4"/>
            </w:tcBorders>
            <w:shd w:fill="EEF5F9" w:val="clear"/>
            <w:tcMar>
              <w:top w:type="dxa" w:w="80"/>
              <w:left w:type="dxa" w:w="120"/>
              <w:bottom w:type="dxa" w:w="80"/>
              <w:right w:type="dxa" w:w="120"/>
            </w:tcMar>
            <w:vAlign w:val="center"/>
          </w:tcPr>
          <w:p>
            <w:pPr>
              <w:spacing w:after="60" w:before="60"/>
              <w:jc w:val="left"/>
            </w:pPr>
            <w:r>
              <w:rPr>
                <w:b w:val="false"/>
                <w:bCs w:val="false"/>
                <w:color w:val="333333"/>
                <w:sz w:val="18"/>
                <w:szCs w:val="18"/>
              </w:rPr>
              <w:t xml:space="preserve">~15%</w:t>
            </w:r>
          </w:p>
        </w:tc>
      </w:tr>
      <w:tr>
        <w:tc>
          <w:tcPr>
            <w:tcW w:type="dxa" w:w="4200"/>
            <w:tcBorders>
              <w:top w:val="single" w:color="AACCDD" w:sz="4"/>
              <w:left w:val="single" w:color="AACCDD" w:sz="4"/>
              <w:bottom w:val="single" w:color="AACCDD" w:sz="4"/>
              <w:right w:val="single" w:color="AACCDD" w:sz="4"/>
            </w:tcBorders>
            <w:shd w:fill="FFFFFF" w:val="clear"/>
            <w:tcMar>
              <w:top w:type="dxa" w:w="80"/>
              <w:left w:type="dxa" w:w="120"/>
              <w:bottom w:type="dxa" w:w="80"/>
              <w:right w:type="dxa" w:w="120"/>
            </w:tcMar>
            <w:vAlign w:val="center"/>
          </w:tcPr>
          <w:p>
            <w:pPr>
              <w:spacing w:after="60" w:before="60"/>
              <w:jc w:val="left"/>
            </w:pPr>
            <w:r>
              <w:rPr>
                <w:b w:val="false"/>
                <w:bCs w:val="false"/>
                <w:color w:val="333333"/>
                <w:sz w:val="18"/>
                <w:szCs w:val="18"/>
              </w:rPr>
              <w:t xml:space="preserve">Maximum Drawdown</w:t>
            </w:r>
          </w:p>
        </w:tc>
        <w:tc>
          <w:tcPr>
            <w:tcW w:type="dxa" w:w="3000"/>
            <w:tcBorders>
              <w:top w:val="single" w:color="AACCDD" w:sz="4"/>
              <w:left w:val="single" w:color="AACCDD" w:sz="4"/>
              <w:bottom w:val="single" w:color="AACCDD" w:sz="4"/>
              <w:right w:val="single" w:color="AACCDD" w:sz="4"/>
            </w:tcBorders>
            <w:shd w:fill="FFFFFF" w:val="clear"/>
            <w:tcMar>
              <w:top w:type="dxa" w:w="80"/>
              <w:left w:type="dxa" w:w="120"/>
              <w:bottom w:type="dxa" w:w="80"/>
              <w:right w:type="dxa" w:w="120"/>
            </w:tcMar>
            <w:vAlign w:val="center"/>
          </w:tcPr>
          <w:p>
            <w:pPr>
              <w:spacing w:after="60" w:before="60"/>
              <w:jc w:val="left"/>
            </w:pPr>
            <w:r>
              <w:rPr>
                <w:b w:val="false"/>
                <w:bCs w:val="false"/>
                <w:color w:val="333333"/>
                <w:sz w:val="18"/>
                <w:szCs w:val="18"/>
              </w:rPr>
              <w:t xml:space="preserve">-19.1%</w:t>
            </w:r>
          </w:p>
        </w:tc>
        <w:tc>
          <w:tcPr>
            <w:tcW w:type="dxa" w:w="2880"/>
            <w:tcBorders>
              <w:top w:val="single" w:color="AACCDD" w:sz="4"/>
              <w:left w:val="single" w:color="AACCDD" w:sz="4"/>
              <w:bottom w:val="single" w:color="AACCDD" w:sz="4"/>
              <w:right w:val="single" w:color="AACCDD" w:sz="4"/>
            </w:tcBorders>
            <w:shd w:fill="FFFFFF" w:val="clear"/>
            <w:tcMar>
              <w:top w:type="dxa" w:w="80"/>
              <w:left w:type="dxa" w:w="120"/>
              <w:bottom w:type="dxa" w:w="80"/>
              <w:right w:type="dxa" w:w="120"/>
            </w:tcMar>
            <w:vAlign w:val="center"/>
          </w:tcPr>
          <w:p>
            <w:pPr>
              <w:spacing w:after="60" w:before="60"/>
              <w:jc w:val="left"/>
            </w:pPr>
            <w:r>
              <w:rPr>
                <w:b w:val="false"/>
                <w:bCs w:val="false"/>
                <w:color w:val="333333"/>
                <w:sz w:val="18"/>
                <w:szCs w:val="18"/>
              </w:rPr>
              <w:t xml:space="preserve">-34% (2022)</w:t>
            </w:r>
          </w:p>
        </w:tc>
      </w:tr>
      <w:tr>
        <w:tc>
          <w:tcPr>
            <w:tcW w:type="dxa" w:w="4200"/>
            <w:tcBorders>
              <w:top w:val="single" w:color="AACCDD" w:sz="4"/>
              <w:left w:val="single" w:color="AACCDD" w:sz="4"/>
              <w:bottom w:val="single" w:color="AACCDD" w:sz="4"/>
              <w:right w:val="single" w:color="AACCDD" w:sz="4"/>
            </w:tcBorders>
            <w:shd w:fill="EEF5F9" w:val="clear"/>
            <w:tcMar>
              <w:top w:type="dxa" w:w="80"/>
              <w:left w:type="dxa" w:w="120"/>
              <w:bottom w:type="dxa" w:w="80"/>
              <w:right w:type="dxa" w:w="120"/>
            </w:tcMar>
            <w:vAlign w:val="center"/>
          </w:tcPr>
          <w:p>
            <w:pPr>
              <w:spacing w:after="60" w:before="60"/>
              <w:jc w:val="left"/>
            </w:pPr>
            <w:r>
              <w:rPr>
                <w:b w:val="false"/>
                <w:bCs w:val="false"/>
                <w:color w:val="333333"/>
                <w:sz w:val="18"/>
                <w:szCs w:val="18"/>
              </w:rPr>
              <w:t xml:space="preserve">Total OOS Return (5.5 years)</w:t>
            </w:r>
          </w:p>
        </w:tc>
        <w:tc>
          <w:tcPr>
            <w:tcW w:type="dxa" w:w="3000"/>
            <w:tcBorders>
              <w:top w:val="single" w:color="AACCDD" w:sz="4"/>
              <w:left w:val="single" w:color="AACCDD" w:sz="4"/>
              <w:bottom w:val="single" w:color="AACCDD" w:sz="4"/>
              <w:right w:val="single" w:color="AACCDD" w:sz="4"/>
            </w:tcBorders>
            <w:shd w:fill="EEF5F9" w:val="clear"/>
            <w:tcMar>
              <w:top w:type="dxa" w:w="80"/>
              <w:left w:type="dxa" w:w="120"/>
              <w:bottom w:type="dxa" w:w="80"/>
              <w:right w:type="dxa" w:w="120"/>
            </w:tcMar>
            <w:vAlign w:val="center"/>
          </w:tcPr>
          <w:p>
            <w:pPr>
              <w:spacing w:after="60" w:before="60"/>
              <w:jc w:val="left"/>
            </w:pPr>
            <w:r>
              <w:rPr>
                <w:b w:val="false"/>
                <w:bCs w:val="false"/>
                <w:color w:val="333333"/>
                <w:sz w:val="18"/>
                <w:szCs w:val="18"/>
              </w:rPr>
              <w:t xml:space="preserve">447%</w:t>
            </w:r>
          </w:p>
        </w:tc>
        <w:tc>
          <w:tcPr>
            <w:tcW w:type="dxa" w:w="2880"/>
            <w:tcBorders>
              <w:top w:val="single" w:color="AACCDD" w:sz="4"/>
              <w:left w:val="single" w:color="AACCDD" w:sz="4"/>
              <w:bottom w:val="single" w:color="AACCDD" w:sz="4"/>
              <w:right w:val="single" w:color="AACCDD" w:sz="4"/>
            </w:tcBorders>
            <w:shd w:fill="EEF5F9" w:val="clear"/>
            <w:tcMar>
              <w:top w:type="dxa" w:w="80"/>
              <w:left w:type="dxa" w:w="120"/>
              <w:bottom w:type="dxa" w:w="80"/>
              <w:right w:type="dxa" w:w="120"/>
            </w:tcMar>
            <w:vAlign w:val="center"/>
          </w:tcPr>
          <w:p>
            <w:pPr>
              <w:spacing w:after="60" w:before="60"/>
              <w:jc w:val="left"/>
            </w:pPr>
            <w:r>
              <w:rPr>
                <w:b w:val="false"/>
                <w:bCs w:val="false"/>
                <w:color w:val="333333"/>
                <w:sz w:val="18"/>
                <w:szCs w:val="18"/>
              </w:rPr>
              <w:t xml:space="preserve">~95%</w:t>
            </w:r>
          </w:p>
        </w:tc>
      </w:tr>
      <w:tr>
        <w:tc>
          <w:tcPr>
            <w:tcW w:type="dxa" w:w="4200"/>
            <w:tcBorders>
              <w:top w:val="single" w:color="AACCDD" w:sz="4"/>
              <w:left w:val="single" w:color="AACCDD" w:sz="4"/>
              <w:bottom w:val="single" w:color="AACCDD" w:sz="4"/>
              <w:right w:val="single" w:color="AACCDD" w:sz="4"/>
            </w:tcBorders>
            <w:shd w:fill="FFFFFF" w:val="clear"/>
            <w:tcMar>
              <w:top w:type="dxa" w:w="80"/>
              <w:left w:type="dxa" w:w="120"/>
              <w:bottom w:type="dxa" w:w="80"/>
              <w:right w:type="dxa" w:w="120"/>
            </w:tcMar>
            <w:vAlign w:val="center"/>
          </w:tcPr>
          <w:p>
            <w:pPr>
              <w:spacing w:after="60" w:before="60"/>
              <w:jc w:val="left"/>
            </w:pPr>
            <w:r>
              <w:rPr>
                <w:b w:val="false"/>
                <w:bCs w:val="false"/>
                <w:color w:val="333333"/>
                <w:sz w:val="18"/>
                <w:szCs w:val="18"/>
              </w:rPr>
              <w:t xml:space="preserve">Profitable OOS Windows</w:t>
            </w:r>
          </w:p>
        </w:tc>
        <w:tc>
          <w:tcPr>
            <w:tcW w:type="dxa" w:w="3000"/>
            <w:tcBorders>
              <w:top w:val="single" w:color="AACCDD" w:sz="4"/>
              <w:left w:val="single" w:color="AACCDD" w:sz="4"/>
              <w:bottom w:val="single" w:color="AACCDD" w:sz="4"/>
              <w:right w:val="single" w:color="AACCDD" w:sz="4"/>
            </w:tcBorders>
            <w:shd w:fill="FFFFFF" w:val="clear"/>
            <w:tcMar>
              <w:top w:type="dxa" w:w="80"/>
              <w:left w:type="dxa" w:w="120"/>
              <w:bottom w:type="dxa" w:w="80"/>
              <w:right w:type="dxa" w:w="120"/>
            </w:tcMar>
            <w:vAlign w:val="center"/>
          </w:tcPr>
          <w:p>
            <w:pPr>
              <w:spacing w:after="60" w:before="60"/>
              <w:jc w:val="left"/>
            </w:pPr>
            <w:r>
              <w:rPr>
                <w:b w:val="false"/>
                <w:bCs w:val="false"/>
                <w:color w:val="333333"/>
                <w:sz w:val="18"/>
                <w:szCs w:val="18"/>
              </w:rPr>
              <w:t xml:space="preserve">5/5 (100%)</w:t>
            </w:r>
          </w:p>
        </w:tc>
        <w:tc>
          <w:tcPr>
            <w:tcW w:type="dxa" w:w="2880"/>
            <w:tcBorders>
              <w:top w:val="single" w:color="AACCDD" w:sz="4"/>
              <w:left w:val="single" w:color="AACCDD" w:sz="4"/>
              <w:bottom w:val="single" w:color="AACCDD" w:sz="4"/>
              <w:right w:val="single" w:color="AACCDD" w:sz="4"/>
            </w:tcBorders>
            <w:shd w:fill="FFFFFF" w:val="clear"/>
            <w:tcMar>
              <w:top w:type="dxa" w:w="80"/>
              <w:left w:type="dxa" w:w="120"/>
              <w:bottom w:type="dxa" w:w="80"/>
              <w:right w:type="dxa" w:w="120"/>
            </w:tcMar>
            <w:vAlign w:val="center"/>
          </w:tcPr>
          <w:p>
            <w:pPr>
              <w:spacing w:after="60" w:before="60"/>
              <w:jc w:val="left"/>
            </w:pPr>
            <w:r>
              <w:rPr>
                <w:b w:val="false"/>
                <w:bCs w:val="false"/>
                <w:color w:val="333333"/>
                <w:sz w:val="18"/>
                <w:szCs w:val="18"/>
              </w:rPr>
              <w:t xml:space="preserve">N/A</w:t>
            </w:r>
          </w:p>
        </w:tc>
      </w:tr>
      <w:tr>
        <w:tc>
          <w:tcPr>
            <w:tcW w:type="dxa" w:w="4200"/>
            <w:tcBorders>
              <w:top w:val="single" w:color="AACCDD" w:sz="4"/>
              <w:left w:val="single" w:color="AACCDD" w:sz="4"/>
              <w:bottom w:val="single" w:color="AACCDD" w:sz="4"/>
              <w:right w:val="single" w:color="AACCDD" w:sz="4"/>
            </w:tcBorders>
            <w:shd w:fill="EEF5F9" w:val="clear"/>
            <w:tcMar>
              <w:top w:type="dxa" w:w="80"/>
              <w:left w:type="dxa" w:w="120"/>
              <w:bottom w:type="dxa" w:w="80"/>
              <w:right w:type="dxa" w:w="120"/>
            </w:tcMar>
            <w:vAlign w:val="center"/>
          </w:tcPr>
          <w:p>
            <w:pPr>
              <w:spacing w:after="60" w:before="60"/>
              <w:jc w:val="left"/>
            </w:pPr>
            <w:r>
              <w:rPr>
                <w:b w:val="false"/>
                <w:bCs w:val="false"/>
                <w:color w:val="333333"/>
                <w:sz w:val="18"/>
                <w:szCs w:val="18"/>
              </w:rPr>
              <w:t xml:space="preserve">Overfitting Decay Score</w:t>
            </w:r>
          </w:p>
        </w:tc>
        <w:tc>
          <w:tcPr>
            <w:tcW w:type="dxa" w:w="3000"/>
            <w:tcBorders>
              <w:top w:val="single" w:color="AACCDD" w:sz="4"/>
              <w:left w:val="single" w:color="AACCDD" w:sz="4"/>
              <w:bottom w:val="single" w:color="AACCDD" w:sz="4"/>
              <w:right w:val="single" w:color="AACCDD" w:sz="4"/>
            </w:tcBorders>
            <w:shd w:fill="EEF5F9" w:val="clear"/>
            <w:tcMar>
              <w:top w:type="dxa" w:w="80"/>
              <w:left w:type="dxa" w:w="120"/>
              <w:bottom w:type="dxa" w:w="80"/>
              <w:right w:type="dxa" w:w="120"/>
            </w:tcMar>
            <w:vAlign w:val="center"/>
          </w:tcPr>
          <w:p>
            <w:pPr>
              <w:spacing w:after="60" w:before="60"/>
              <w:jc w:val="left"/>
            </w:pPr>
            <w:r>
              <w:rPr>
                <w:b w:val="false"/>
                <w:bCs w:val="false"/>
                <w:color w:val="333333"/>
                <w:sz w:val="18"/>
                <w:szCs w:val="18"/>
              </w:rPr>
              <w:t xml:space="preserve">0.23 (Low)</w:t>
            </w:r>
          </w:p>
        </w:tc>
        <w:tc>
          <w:tcPr>
            <w:tcW w:type="dxa" w:w="2880"/>
            <w:tcBorders>
              <w:top w:val="single" w:color="AACCDD" w:sz="4"/>
              <w:left w:val="single" w:color="AACCDD" w:sz="4"/>
              <w:bottom w:val="single" w:color="AACCDD" w:sz="4"/>
              <w:right w:val="single" w:color="AACCDD" w:sz="4"/>
            </w:tcBorders>
            <w:shd w:fill="EEF5F9" w:val="clear"/>
            <w:tcMar>
              <w:top w:type="dxa" w:w="80"/>
              <w:left w:type="dxa" w:w="120"/>
              <w:bottom w:type="dxa" w:w="80"/>
              <w:right w:type="dxa" w:w="120"/>
            </w:tcMar>
            <w:vAlign w:val="center"/>
          </w:tcPr>
          <w:p>
            <w:pPr>
              <w:spacing w:after="60" w:before="60"/>
              <w:jc w:val="left"/>
            </w:pPr>
            <w:r>
              <w:rPr>
                <w:b w:val="false"/>
                <w:bCs w:val="false"/>
                <w:color w:val="333333"/>
                <w:sz w:val="18"/>
                <w:szCs w:val="18"/>
              </w:rPr>
              <w:t xml:space="preserve">N/A</w:t>
            </w:r>
          </w:p>
        </w:tc>
      </w:tr>
      <w:tr>
        <w:tc>
          <w:tcPr>
            <w:tcW w:type="dxa" w:w="4200"/>
            <w:tcBorders>
              <w:top w:val="single" w:color="AACCDD" w:sz="4"/>
              <w:left w:val="single" w:color="AACCDD" w:sz="4"/>
              <w:bottom w:val="single" w:color="AACCDD" w:sz="4"/>
              <w:right w:val="single" w:color="AACCDD" w:sz="4"/>
            </w:tcBorders>
            <w:shd w:fill="FFFFFF" w:val="clear"/>
            <w:tcMar>
              <w:top w:type="dxa" w:w="80"/>
              <w:left w:type="dxa" w:w="120"/>
              <w:bottom w:type="dxa" w:w="80"/>
              <w:right w:type="dxa" w:w="120"/>
            </w:tcMar>
            <w:vAlign w:val="center"/>
          </w:tcPr>
          <w:p>
            <w:pPr>
              <w:spacing w:after="60" w:before="60"/>
              <w:jc w:val="left"/>
            </w:pPr>
            <w:r>
              <w:rPr>
                <w:b w:val="false"/>
                <w:bCs w:val="false"/>
                <w:color w:val="333333"/>
                <w:sz w:val="18"/>
                <w:szCs w:val="18"/>
              </w:rPr>
              <w:t xml:space="preserve">Parameter Stability</w:t>
            </w:r>
          </w:p>
        </w:tc>
        <w:tc>
          <w:tcPr>
            <w:tcW w:type="dxa" w:w="3000"/>
            <w:tcBorders>
              <w:top w:val="single" w:color="AACCDD" w:sz="4"/>
              <w:left w:val="single" w:color="AACCDD" w:sz="4"/>
              <w:bottom w:val="single" w:color="AACCDD" w:sz="4"/>
              <w:right w:val="single" w:color="AACCDD" w:sz="4"/>
            </w:tcBorders>
            <w:shd w:fill="FFFFFF" w:val="clear"/>
            <w:tcMar>
              <w:top w:type="dxa" w:w="80"/>
              <w:left w:type="dxa" w:w="120"/>
              <w:bottom w:type="dxa" w:w="80"/>
              <w:right w:type="dxa" w:w="120"/>
            </w:tcMar>
            <w:vAlign w:val="center"/>
          </w:tcPr>
          <w:p>
            <w:pPr>
              <w:spacing w:after="60" w:before="60"/>
              <w:jc w:val="left"/>
            </w:pPr>
            <w:r>
              <w:rPr>
                <w:b w:val="false"/>
                <w:bCs w:val="false"/>
                <w:color w:val="333333"/>
                <w:sz w:val="18"/>
                <w:szCs w:val="18"/>
              </w:rPr>
              <w:t xml:space="preserve">High (ATR locked pre-search)</w:t>
            </w:r>
          </w:p>
        </w:tc>
        <w:tc>
          <w:tcPr>
            <w:tcW w:type="dxa" w:w="2880"/>
            <w:tcBorders>
              <w:top w:val="single" w:color="AACCDD" w:sz="4"/>
              <w:left w:val="single" w:color="AACCDD" w:sz="4"/>
              <w:bottom w:val="single" w:color="AACCDD" w:sz="4"/>
              <w:right w:val="single" w:color="AACCDD" w:sz="4"/>
            </w:tcBorders>
            <w:shd w:fill="FFFFFF" w:val="clear"/>
            <w:tcMar>
              <w:top w:type="dxa" w:w="80"/>
              <w:left w:type="dxa" w:w="120"/>
              <w:bottom w:type="dxa" w:w="80"/>
              <w:right w:type="dxa" w:w="120"/>
            </w:tcMar>
            <w:vAlign w:val="center"/>
          </w:tcPr>
          <w:p>
            <w:pPr>
              <w:spacing w:after="60" w:before="60"/>
              <w:jc w:val="left"/>
            </w:pPr>
            <w:r>
              <w:rPr>
                <w:b w:val="false"/>
                <w:bCs w:val="false"/>
                <w:color w:val="333333"/>
                <w:sz w:val="18"/>
                <w:szCs w:val="18"/>
              </w:rPr>
              <w:t xml:space="preserve">N/A</w:t>
            </w:r>
          </w:p>
        </w:tc>
      </w:tr>
      <w:tr>
        <w:tc>
          <w:tcPr>
            <w:tcW w:type="dxa" w:w="4200"/>
            <w:tcBorders>
              <w:top w:val="single" w:color="AACCDD" w:sz="4"/>
              <w:left w:val="single" w:color="AACCDD" w:sz="4"/>
              <w:bottom w:val="single" w:color="AACCDD" w:sz="4"/>
              <w:right w:val="single" w:color="AACCDD" w:sz="4"/>
            </w:tcBorders>
            <w:shd w:fill="EEF5F9" w:val="clear"/>
            <w:tcMar>
              <w:top w:type="dxa" w:w="80"/>
              <w:left w:type="dxa" w:w="120"/>
              <w:bottom w:type="dxa" w:w="80"/>
              <w:right w:type="dxa" w:w="120"/>
            </w:tcMar>
            <w:vAlign w:val="center"/>
          </w:tcPr>
          <w:p>
            <w:pPr>
              <w:spacing w:after="60" w:before="60"/>
              <w:jc w:val="left"/>
            </w:pPr>
            <w:r>
              <w:rPr>
                <w:b w:val="false"/>
                <w:bCs w:val="false"/>
                <w:color w:val="333333"/>
                <w:sz w:val="18"/>
                <w:szCs w:val="18"/>
              </w:rPr>
              <w:t xml:space="preserve">Live Paper Trading</w:t>
            </w:r>
          </w:p>
        </w:tc>
        <w:tc>
          <w:tcPr>
            <w:tcW w:type="dxa" w:w="3000"/>
            <w:tcBorders>
              <w:top w:val="single" w:color="AACCDD" w:sz="4"/>
              <w:left w:val="single" w:color="AACCDD" w:sz="4"/>
              <w:bottom w:val="single" w:color="AACCDD" w:sz="4"/>
              <w:right w:val="single" w:color="AACCDD" w:sz="4"/>
            </w:tcBorders>
            <w:shd w:fill="EEF5F9" w:val="clear"/>
            <w:tcMar>
              <w:top w:type="dxa" w:w="80"/>
              <w:left w:type="dxa" w:w="120"/>
              <w:bottom w:type="dxa" w:w="80"/>
              <w:right w:type="dxa" w:w="120"/>
            </w:tcMar>
            <w:vAlign w:val="center"/>
          </w:tcPr>
          <w:p>
            <w:pPr>
              <w:spacing w:after="60" w:before="60"/>
              <w:jc w:val="left"/>
            </w:pPr>
            <w:r>
              <w:rPr>
                <w:b w:val="false"/>
                <w:bCs w:val="false"/>
                <w:color w:val="333333"/>
                <w:sz w:val="18"/>
                <w:szCs w:val="18"/>
              </w:rPr>
              <w:t xml:space="preserve">Active since March 2026</w:t>
            </w:r>
          </w:p>
        </w:tc>
        <w:tc>
          <w:tcPr>
            <w:tcW w:type="dxa" w:w="2880"/>
            <w:tcBorders>
              <w:top w:val="single" w:color="AACCDD" w:sz="4"/>
              <w:left w:val="single" w:color="AACCDD" w:sz="4"/>
              <w:bottom w:val="single" w:color="AACCDD" w:sz="4"/>
              <w:right w:val="single" w:color="AACCDD" w:sz="4"/>
            </w:tcBorders>
            <w:shd w:fill="EEF5F9" w:val="clear"/>
            <w:tcMar>
              <w:top w:type="dxa" w:w="80"/>
              <w:left w:type="dxa" w:w="120"/>
              <w:bottom w:type="dxa" w:w="80"/>
              <w:right w:type="dxa" w:w="120"/>
            </w:tcMar>
            <w:vAlign w:val="center"/>
          </w:tcPr>
          <w:p>
            <w:pPr>
              <w:spacing w:after="60" w:before="60"/>
              <w:jc w:val="left"/>
            </w:pPr>
            <w:r>
              <w:rPr>
                <w:b w:val="false"/>
                <w:bCs w:val="false"/>
                <w:color w:val="333333"/>
                <w:sz w:val="18"/>
                <w:szCs w:val="18"/>
              </w:rPr>
              <w:t xml:space="preserve">N/A</w:t>
            </w:r>
          </w:p>
        </w:tc>
      </w:tr>
    </w:tbl>
    <w:p>
      <w:pPr>
        <w:spacing w:after="120" w:before="0"/>
      </w:pPr>
    </w:p>
    <w:p>
      <w:pPr>
        <w:pStyle w:val="Heading2"/>
        <w:pBdr>
          <w:bottom w:val="single" w:color="2C4A8C" w:sz="6"/>
        </w:pBdr>
        <w:spacing w:after="100" w:before="200"/>
      </w:pPr>
      <w:r>
        <w:rPr>
          <w:b/>
          <w:bCs/>
          <w:color w:val="1a2744"/>
          <w:sz w:val="24"/>
          <w:szCs w:val="24"/>
        </w:rPr>
        <w:t xml:space="preserve">1.2  What Makes This Credible</w:t>
      </w:r>
    </w:p>
    <w:p>
      <w:pPr>
        <w:spacing w:after="60" w:before="60"/>
        <w:jc w:val="left"/>
      </w:pPr>
      <w:r>
        <w:rPr>
          <w:b w:val="false"/>
          <w:bCs w:val="false"/>
          <w:i w:val="false"/>
          <w:iCs w:val="false"/>
          <w:color w:val="333333"/>
          <w:sz w:val="20"/>
          <w:szCs w:val="20"/>
        </w:rPr>
        <w:t xml:space="preserve">Three independent pillars of validation underpin these results:</w:t>
      </w:r>
    </w:p>
    <w:p>
      <w:pPr>
        <w:spacing w:after="40" w:before="0"/>
      </w:pPr>
    </w:p>
    <w:p>
      <w:pPr>
        <w:spacing w:after="60" w:before="60"/>
        <w:ind w:left="360"/>
      </w:pPr>
      <w:r>
        <w:rPr>
          <w:b/>
          <w:bCs/>
          <w:color w:val="1a2744"/>
          <w:sz w:val="20"/>
          <w:szCs w:val="20"/>
        </w:rPr>
        <w:t xml:space="preserve">1. </w:t>
      </w:r>
      <w:r>
        <w:rPr>
          <w:color w:val="333333"/>
          <w:sz w:val="20"/>
          <w:szCs w:val="20"/>
        </w:rPr>
        <w:t xml:space="preserve">Walk-Forward Out-of-Sample Testing (5 windows, 5.5 years) — not simple backtesting</w:t>
      </w:r>
    </w:p>
    <w:p>
      <w:pPr>
        <w:spacing w:after="60" w:before="60"/>
        <w:ind w:left="360"/>
      </w:pPr>
      <w:r>
        <w:rPr>
          <w:b/>
          <w:bCs/>
          <w:color w:val="1a2744"/>
          <w:sz w:val="20"/>
          <w:szCs w:val="20"/>
        </w:rPr>
        <w:t xml:space="preserve">2. </w:t>
      </w:r>
      <w:r>
        <w:rPr>
          <w:color w:val="333333"/>
          <w:sz w:val="20"/>
          <w:szCs w:val="20"/>
        </w:rPr>
        <w:t xml:space="preserve">Parameter Stability Analysis — key parameters validated for robustness, not curve-fitting</w:t>
      </w:r>
    </w:p>
    <w:p>
      <w:pPr>
        <w:spacing w:after="60" w:before="60"/>
        <w:ind w:left="360"/>
      </w:pPr>
      <w:r>
        <w:rPr>
          <w:b/>
          <w:bCs/>
          <w:color w:val="1a2744"/>
          <w:sz w:val="20"/>
          <w:szCs w:val="20"/>
        </w:rPr>
        <w:t xml:space="preserve">3. </w:t>
      </w:r>
      <w:r>
        <w:rPr>
          <w:color w:val="333333"/>
          <w:sz w:val="20"/>
          <w:szCs w:val="20"/>
        </w:rPr>
        <w:t xml:space="preserve">Multi-Market-Environment Testing — validated through COVID (2020), FOMO Bull (2021), Fed Bear (2022), AI Recovery (2023), AI Bull (2024)</w:t>
      </w:r>
    </w:p>
    <w:p>
      <w:pPr>
        <w:spacing w:after="80" w:before="0"/>
      </w:pPr>
    </w:p>
    <w:p>
      <w:r>
        <w:br w:type="page"/>
      </w:r>
    </w:p>
    <w:p>
      <w:pPr>
        <w:pStyle w:val="Heading1"/>
        <w:shd w:fill="1a2744" w:val="clear"/>
        <w:spacing w:after="160" w:before="280"/>
      </w:pPr>
      <w:r>
        <w:rPr>
          <w:b/>
          <w:bCs/>
          <w:color w:val="FFFFFF"/>
          <w:sz w:val="32"/>
          <w:szCs w:val="32"/>
        </w:rPr>
        <w:t xml:space="preserve">SECTION 2: METHODOLOGY — WALK-FORWARD VALIDATION</w:t>
      </w:r>
    </w:p>
    <w:p>
      <w:pPr>
        <w:spacing w:after="80" w:before="0"/>
      </w:pPr>
    </w:p>
    <w:p>
      <w:pPr>
        <w:pStyle w:val="Heading2"/>
        <w:pBdr>
          <w:bottom w:val="single" w:color="2C4A8C" w:sz="6"/>
        </w:pBdr>
        <w:spacing w:after="100" w:before="200"/>
      </w:pPr>
      <w:r>
        <w:rPr>
          <w:b/>
          <w:bCs/>
          <w:color w:val="1a2744"/>
          <w:sz w:val="24"/>
          <w:szCs w:val="24"/>
        </w:rPr>
        <w:t xml:space="preserve">2.1  Why Walk-Forward?</w:t>
      </w:r>
    </w:p>
    <w:p>
      <w:pPr>
        <w:spacing w:after="60" w:before="60"/>
        <w:jc w:val="left"/>
      </w:pPr>
      <w:r>
        <w:rPr>
          <w:b w:val="false"/>
          <w:bCs w:val="false"/>
          <w:i w:val="false"/>
          <w:iCs w:val="false"/>
          <w:color w:val="333333"/>
          <w:sz w:val="20"/>
          <w:szCs w:val="20"/>
        </w:rPr>
        <w:t xml:space="preserve">Simple backtesting is unreliable for real trading because:</w:t>
      </w:r>
    </w:p>
    <w:p>
      <w:pPr>
        <w:pStyle w:val="ListParagraph"/>
        <w:numPr>
          <w:ilvl w:val="0"/>
          <w:numId w:val="2"/>
        </w:numPr>
        <w:spacing w:after="40" w:before="40"/>
      </w:pPr>
      <w:r>
        <w:rPr>
          <w:b w:val="false"/>
          <w:bCs w:val="false"/>
          <w:color w:val="333333"/>
          <w:sz w:val="20"/>
          <w:szCs w:val="20"/>
        </w:rPr>
        <w:t xml:space="preserve">Parameters are optimised on the same data they are tested on (data snooping)</w:t>
      </w:r>
    </w:p>
    <w:p>
      <w:pPr>
        <w:pStyle w:val="ListParagraph"/>
        <w:numPr>
          <w:ilvl w:val="0"/>
          <w:numId w:val="2"/>
        </w:numPr>
        <w:spacing w:after="40" w:before="40"/>
      </w:pPr>
      <w:r>
        <w:rPr>
          <w:b w:val="false"/>
          <w:bCs w:val="false"/>
          <w:color w:val="333333"/>
          <w:sz w:val="20"/>
          <w:szCs w:val="20"/>
        </w:rPr>
        <w:t xml:space="preserve">The strategy 'sees the future' during its own evaluation</w:t>
      </w:r>
    </w:p>
    <w:p>
      <w:pPr>
        <w:pStyle w:val="ListParagraph"/>
        <w:numPr>
          <w:ilvl w:val="0"/>
          <w:numId w:val="2"/>
        </w:numPr>
        <w:spacing w:after="40" w:before="40"/>
      </w:pPr>
      <w:r>
        <w:rPr>
          <w:b w:val="false"/>
          <w:bCs w:val="false"/>
          <w:color w:val="333333"/>
          <w:sz w:val="20"/>
          <w:szCs w:val="20"/>
        </w:rPr>
        <w:t xml:space="preserve">This leads to overfitting: excellent backtests, poor live performance</w:t>
      </w:r>
    </w:p>
    <w:p>
      <w:pPr>
        <w:spacing w:after="80" w:before="0"/>
      </w:pPr>
    </w:p>
    <w:p>
      <w:pPr>
        <w:spacing w:after="60" w:before="60"/>
        <w:jc w:val="left"/>
      </w:pPr>
      <w:r>
        <w:rPr>
          <w:b/>
          <w:bCs/>
          <w:i w:val="false"/>
          <w:iCs w:val="false"/>
          <w:color w:val="333333"/>
          <w:sz w:val="20"/>
          <w:szCs w:val="20"/>
        </w:rPr>
        <w:t xml:space="preserve">Walk-Forward Validation solves this:</w:t>
      </w:r>
    </w:p>
    <w:p>
      <w:pPr>
        <w:pStyle w:val="ListParagraph"/>
        <w:numPr>
          <w:ilvl w:val="0"/>
          <w:numId w:val="2"/>
        </w:numPr>
        <w:spacing w:after="40" w:before="40"/>
      </w:pPr>
      <w:r>
        <w:rPr>
          <w:b w:val="false"/>
          <w:bCs w:val="false"/>
          <w:color w:val="333333"/>
          <w:sz w:val="20"/>
          <w:szCs w:val="20"/>
        </w:rPr>
        <w:t xml:space="preserve">Parameters are trained on historical data (training window)</w:t>
      </w:r>
    </w:p>
    <w:p>
      <w:pPr>
        <w:pStyle w:val="ListParagraph"/>
        <w:numPr>
          <w:ilvl w:val="0"/>
          <w:numId w:val="2"/>
        </w:numPr>
        <w:spacing w:after="40" w:before="40"/>
      </w:pPr>
      <w:r>
        <w:rPr>
          <w:b w:val="false"/>
          <w:bCs w:val="false"/>
          <w:color w:val="333333"/>
          <w:sz w:val="20"/>
          <w:szCs w:val="20"/>
        </w:rPr>
        <w:t xml:space="preserve">Strategy is then tested on completely unseen future data (test window)</w:t>
      </w:r>
    </w:p>
    <w:p>
      <w:pPr>
        <w:pStyle w:val="ListParagraph"/>
        <w:numPr>
          <w:ilvl w:val="0"/>
          <w:numId w:val="2"/>
        </w:numPr>
        <w:spacing w:after="40" w:before="40"/>
      </w:pPr>
      <w:r>
        <w:rPr>
          <w:b w:val="false"/>
          <w:bCs w:val="false"/>
          <w:color w:val="333333"/>
          <w:sz w:val="20"/>
          <w:szCs w:val="20"/>
        </w:rPr>
        <w:t xml:space="preserve">This process repeats across multiple windows, rolling forward through time</w:t>
      </w:r>
    </w:p>
    <w:p>
      <w:pPr>
        <w:pStyle w:val="ListParagraph"/>
        <w:numPr>
          <w:ilvl w:val="0"/>
          <w:numId w:val="2"/>
        </w:numPr>
        <w:spacing w:after="40" w:before="40"/>
      </w:pPr>
      <w:r>
        <w:rPr>
          <w:b w:val="false"/>
          <w:bCs w:val="false"/>
          <w:color w:val="333333"/>
          <w:sz w:val="20"/>
          <w:szCs w:val="20"/>
        </w:rPr>
        <w:t xml:space="preserve">Only the out-of-sample (OOS) results are reported as performance</w:t>
      </w:r>
    </w:p>
    <w:p>
      <w:pPr>
        <w:spacing w:after="80" w:before="0"/>
      </w:pPr>
    </w:p>
    <w:p>
      <w:pPr>
        <w:spacing w:after="60" w:before="60"/>
        <w:jc w:val="left"/>
      </w:pPr>
      <w:r>
        <w:rPr>
          <w:b w:val="false"/>
          <w:bCs w:val="false"/>
          <w:i/>
          <w:iCs/>
          <w:color w:val="2C4A8C"/>
          <w:sz w:val="20"/>
          <w:szCs w:val="20"/>
        </w:rPr>
        <w:t xml:space="preserve">This is the same methodology used by institutional hedge funds for strategy validation.</w:t>
      </w:r>
    </w:p>
    <w:p>
      <w:pPr>
        <w:spacing w:after="120" w:before="0"/>
      </w:pPr>
    </w:p>
    <w:p>
      <w:pPr>
        <w:pStyle w:val="Heading2"/>
        <w:pBdr>
          <w:bottom w:val="single" w:color="2C4A8C" w:sz="6"/>
        </w:pBdr>
        <w:spacing w:after="100" w:before="200"/>
      </w:pPr>
      <w:r>
        <w:rPr>
          <w:b/>
          <w:bCs/>
          <w:color w:val="1a2744"/>
          <w:sz w:val="24"/>
          <w:szCs w:val="24"/>
        </w:rPr>
        <w:t xml:space="preserve">2.2  StockQueen Walk-Forward Design</w:t>
      </w:r>
    </w:p>
    <w:p>
      <w:pPr>
        <w:spacing w:after="60" w:before="0"/>
      </w:pPr>
    </w:p>
    <w:tbl>
      <w:tblPr>
        <w:tblW w:type="dxa" w:w="10080"/>
        <w:tblBorders>
          <w:top w:val="single" w:color="AACCDD" w:sz="4"/>
          <w:left w:val="single" w:color="AACCDD" w:sz="4"/>
          <w:bottom w:val="single" w:color="AACCDD" w:sz="4"/>
          <w:right w:val="single" w:color="AACCDD" w:sz="4"/>
          <w:insideH w:val="single" w:color="auto" w:sz="4"/>
          <w:insideV w:val="single" w:color="auto" w:sz="4"/>
        </w:tblBorders>
      </w:tblPr>
      <w:tblGrid>
        <w:gridCol w:w="4200"/>
        <w:gridCol w:w="5880"/>
      </w:tblGrid>
      <w:tr>
        <w:trPr>
          <w:tblHeader/>
        </w:trPr>
        <w:tc>
          <w:tcPr>
            <w:tcW w:type="dxa" w:w="4200"/>
            <w:tcBorders>
              <w:top w:val="single" w:color="AACCDD" w:sz="4"/>
              <w:left w:val="single" w:color="AACCDD" w:sz="4"/>
              <w:bottom w:val="single" w:color="AACCDD" w:sz="4"/>
              <w:right w:val="single" w:color="AACCDD" w:sz="4"/>
            </w:tcBorders>
            <w:shd w:fill="D5E8F0" w:val="clear"/>
            <w:tcMar>
              <w:top w:type="dxa" w:w="80"/>
              <w:left w:type="dxa" w:w="120"/>
              <w:bottom w:type="dxa" w:w="80"/>
              <w:right w:type="dxa" w:w="120"/>
            </w:tcMar>
            <w:vAlign w:val="center"/>
          </w:tcPr>
          <w:p>
            <w:pPr>
              <w:spacing w:after="60" w:before="60"/>
              <w:jc w:val="left"/>
            </w:pPr>
            <w:r>
              <w:rPr>
                <w:b/>
                <w:bCs/>
                <w:color w:val="1a2744"/>
                <w:sz w:val="18"/>
                <w:szCs w:val="18"/>
              </w:rPr>
              <w:t xml:space="preserve">Parameter</w:t>
            </w:r>
          </w:p>
        </w:tc>
        <w:tc>
          <w:tcPr>
            <w:tcW w:type="dxa" w:w="5880"/>
            <w:tcBorders>
              <w:top w:val="single" w:color="AACCDD" w:sz="4"/>
              <w:left w:val="single" w:color="AACCDD" w:sz="4"/>
              <w:bottom w:val="single" w:color="AACCDD" w:sz="4"/>
              <w:right w:val="single" w:color="AACCDD" w:sz="4"/>
            </w:tcBorders>
            <w:shd w:fill="D5E8F0" w:val="clear"/>
            <w:tcMar>
              <w:top w:type="dxa" w:w="80"/>
              <w:left w:type="dxa" w:w="120"/>
              <w:bottom w:type="dxa" w:w="80"/>
              <w:right w:type="dxa" w:w="120"/>
            </w:tcMar>
            <w:vAlign w:val="center"/>
          </w:tcPr>
          <w:p>
            <w:pPr>
              <w:spacing w:after="60" w:before="60"/>
              <w:jc w:val="left"/>
            </w:pPr>
            <w:r>
              <w:rPr>
                <w:b/>
                <w:bCs/>
                <w:color w:val="1a2744"/>
                <w:sz w:val="18"/>
                <w:szCs w:val="18"/>
              </w:rPr>
              <w:t xml:space="preserve">Value</w:t>
            </w:r>
          </w:p>
        </w:tc>
      </w:tr>
      <w:tr>
        <w:tc>
          <w:tcPr>
            <w:tcW w:type="dxa" w:w="4200"/>
            <w:tcBorders>
              <w:top w:val="single" w:color="AACCDD" w:sz="4"/>
              <w:left w:val="single" w:color="AACCDD" w:sz="4"/>
              <w:bottom w:val="single" w:color="AACCDD" w:sz="4"/>
              <w:right w:val="single" w:color="AACCDD" w:sz="4"/>
            </w:tcBorders>
            <w:shd w:fill="FFFFFF" w:val="clear"/>
            <w:tcMar>
              <w:top w:type="dxa" w:w="80"/>
              <w:left w:type="dxa" w:w="120"/>
              <w:bottom w:type="dxa" w:w="80"/>
              <w:right w:type="dxa" w:w="120"/>
            </w:tcMar>
            <w:vAlign w:val="center"/>
          </w:tcPr>
          <w:p>
            <w:pPr>
              <w:spacing w:after="60" w:before="60"/>
              <w:jc w:val="left"/>
            </w:pPr>
            <w:r>
              <w:rPr>
                <w:b w:val="false"/>
                <w:bCs w:val="false"/>
                <w:color w:val="333333"/>
                <w:sz w:val="18"/>
                <w:szCs w:val="18"/>
              </w:rPr>
              <w:t xml:space="preserve">Methodology</w:t>
            </w:r>
          </w:p>
        </w:tc>
        <w:tc>
          <w:tcPr>
            <w:tcW w:type="dxa" w:w="5880"/>
            <w:tcBorders>
              <w:top w:val="single" w:color="AACCDD" w:sz="4"/>
              <w:left w:val="single" w:color="AACCDD" w:sz="4"/>
              <w:bottom w:val="single" w:color="AACCDD" w:sz="4"/>
              <w:right w:val="single" w:color="AACCDD" w:sz="4"/>
            </w:tcBorders>
            <w:shd w:fill="FFFFFF" w:val="clear"/>
            <w:tcMar>
              <w:top w:type="dxa" w:w="80"/>
              <w:left w:type="dxa" w:w="120"/>
              <w:bottom w:type="dxa" w:w="80"/>
              <w:right w:type="dxa" w:w="120"/>
            </w:tcMar>
            <w:vAlign w:val="center"/>
          </w:tcPr>
          <w:p>
            <w:pPr>
              <w:spacing w:after="60" w:before="60"/>
              <w:jc w:val="left"/>
            </w:pPr>
            <w:r>
              <w:rPr>
                <w:b w:val="false"/>
                <w:bCs w:val="false"/>
                <w:color w:val="333333"/>
                <w:sz w:val="18"/>
                <w:szCs w:val="18"/>
              </w:rPr>
              <w:t xml:space="preserve">Expanding Walk-Forward (training window grows each iteration)</w:t>
            </w:r>
          </w:p>
        </w:tc>
      </w:tr>
      <w:tr>
        <w:tc>
          <w:tcPr>
            <w:tcW w:type="dxa" w:w="4200"/>
            <w:tcBorders>
              <w:top w:val="single" w:color="AACCDD" w:sz="4"/>
              <w:left w:val="single" w:color="AACCDD" w:sz="4"/>
              <w:bottom w:val="single" w:color="AACCDD" w:sz="4"/>
              <w:right w:val="single" w:color="AACCDD" w:sz="4"/>
            </w:tcBorders>
            <w:shd w:fill="EEF5F9" w:val="clear"/>
            <w:tcMar>
              <w:top w:type="dxa" w:w="80"/>
              <w:left w:type="dxa" w:w="120"/>
              <w:bottom w:type="dxa" w:w="80"/>
              <w:right w:type="dxa" w:w="120"/>
            </w:tcMar>
            <w:vAlign w:val="center"/>
          </w:tcPr>
          <w:p>
            <w:pPr>
              <w:spacing w:after="60" w:before="60"/>
              <w:jc w:val="left"/>
            </w:pPr>
            <w:r>
              <w:rPr>
                <w:b w:val="false"/>
                <w:bCs w:val="false"/>
                <w:color w:val="333333"/>
                <w:sz w:val="18"/>
                <w:szCs w:val="18"/>
              </w:rPr>
              <w:t xml:space="preserve">Number of Windows</w:t>
            </w:r>
          </w:p>
        </w:tc>
        <w:tc>
          <w:tcPr>
            <w:tcW w:type="dxa" w:w="5880"/>
            <w:tcBorders>
              <w:top w:val="single" w:color="AACCDD" w:sz="4"/>
              <w:left w:val="single" w:color="AACCDD" w:sz="4"/>
              <w:bottom w:val="single" w:color="AACCDD" w:sz="4"/>
              <w:right w:val="single" w:color="AACCDD" w:sz="4"/>
            </w:tcBorders>
            <w:shd w:fill="EEF5F9" w:val="clear"/>
            <w:tcMar>
              <w:top w:type="dxa" w:w="80"/>
              <w:left w:type="dxa" w:w="120"/>
              <w:bottom w:type="dxa" w:w="80"/>
              <w:right w:type="dxa" w:w="120"/>
            </w:tcMar>
            <w:vAlign w:val="center"/>
          </w:tcPr>
          <w:p>
            <w:pPr>
              <w:spacing w:after="60" w:before="60"/>
              <w:jc w:val="left"/>
            </w:pPr>
            <w:r>
              <w:rPr>
                <w:b w:val="false"/>
                <w:bCs w:val="false"/>
                <w:color w:val="333333"/>
                <w:sz w:val="18"/>
                <w:szCs w:val="18"/>
              </w:rPr>
              <w:t xml:space="preserve">5 windows</w:t>
            </w:r>
          </w:p>
        </w:tc>
      </w:tr>
      <w:tr>
        <w:tc>
          <w:tcPr>
            <w:tcW w:type="dxa" w:w="4200"/>
            <w:tcBorders>
              <w:top w:val="single" w:color="AACCDD" w:sz="4"/>
              <w:left w:val="single" w:color="AACCDD" w:sz="4"/>
              <w:bottom w:val="single" w:color="AACCDD" w:sz="4"/>
              <w:right w:val="single" w:color="AACCDD" w:sz="4"/>
            </w:tcBorders>
            <w:shd w:fill="FFFFFF" w:val="clear"/>
            <w:tcMar>
              <w:top w:type="dxa" w:w="80"/>
              <w:left w:type="dxa" w:w="120"/>
              <w:bottom w:type="dxa" w:w="80"/>
              <w:right w:type="dxa" w:w="120"/>
            </w:tcMar>
            <w:vAlign w:val="center"/>
          </w:tcPr>
          <w:p>
            <w:pPr>
              <w:spacing w:after="60" w:before="60"/>
              <w:jc w:val="left"/>
            </w:pPr>
            <w:r>
              <w:rPr>
                <w:b w:val="false"/>
                <w:bCs w:val="false"/>
                <w:color w:val="333333"/>
                <w:sz w:val="18"/>
                <w:szCs w:val="18"/>
              </w:rPr>
              <w:t xml:space="preserve">Training Horizon</w:t>
            </w:r>
          </w:p>
        </w:tc>
        <w:tc>
          <w:tcPr>
            <w:tcW w:type="dxa" w:w="5880"/>
            <w:tcBorders>
              <w:top w:val="single" w:color="AACCDD" w:sz="4"/>
              <w:left w:val="single" w:color="AACCDD" w:sz="4"/>
              <w:bottom w:val="single" w:color="AACCDD" w:sz="4"/>
              <w:right w:val="single" w:color="AACCDD" w:sz="4"/>
            </w:tcBorders>
            <w:shd w:fill="FFFFFF" w:val="clear"/>
            <w:tcMar>
              <w:top w:type="dxa" w:w="80"/>
              <w:left w:type="dxa" w:w="120"/>
              <w:bottom w:type="dxa" w:w="80"/>
              <w:right w:type="dxa" w:w="120"/>
            </w:tcMar>
            <w:vAlign w:val="center"/>
          </w:tcPr>
          <w:p>
            <w:pPr>
              <w:spacing w:after="60" w:before="60"/>
              <w:jc w:val="left"/>
            </w:pPr>
            <w:r>
              <w:rPr>
                <w:b w:val="false"/>
                <w:bCs w:val="false"/>
                <w:color w:val="333333"/>
                <w:sz w:val="18"/>
                <w:szCs w:val="18"/>
              </w:rPr>
              <w:t xml:space="preserve">Growing from 2 years (W1) to 6 years (W5)</w:t>
            </w:r>
          </w:p>
        </w:tc>
      </w:tr>
      <w:tr>
        <w:tc>
          <w:tcPr>
            <w:tcW w:type="dxa" w:w="4200"/>
            <w:tcBorders>
              <w:top w:val="single" w:color="AACCDD" w:sz="4"/>
              <w:left w:val="single" w:color="AACCDD" w:sz="4"/>
              <w:bottom w:val="single" w:color="AACCDD" w:sz="4"/>
              <w:right w:val="single" w:color="AACCDD" w:sz="4"/>
            </w:tcBorders>
            <w:shd w:fill="EEF5F9" w:val="clear"/>
            <w:tcMar>
              <w:top w:type="dxa" w:w="80"/>
              <w:left w:type="dxa" w:w="120"/>
              <w:bottom w:type="dxa" w:w="80"/>
              <w:right w:type="dxa" w:w="120"/>
            </w:tcMar>
            <w:vAlign w:val="center"/>
          </w:tcPr>
          <w:p>
            <w:pPr>
              <w:spacing w:after="60" w:before="60"/>
              <w:jc w:val="left"/>
            </w:pPr>
            <w:r>
              <w:rPr>
                <w:b w:val="false"/>
                <w:bCs w:val="false"/>
                <w:color w:val="333333"/>
                <w:sz w:val="18"/>
                <w:szCs w:val="18"/>
              </w:rPr>
              <w:t xml:space="preserve">Test Window</w:t>
            </w:r>
          </w:p>
        </w:tc>
        <w:tc>
          <w:tcPr>
            <w:tcW w:type="dxa" w:w="5880"/>
            <w:tcBorders>
              <w:top w:val="single" w:color="AACCDD" w:sz="4"/>
              <w:left w:val="single" w:color="AACCDD" w:sz="4"/>
              <w:bottom w:val="single" w:color="AACCDD" w:sz="4"/>
              <w:right w:val="single" w:color="AACCDD" w:sz="4"/>
            </w:tcBorders>
            <w:shd w:fill="EEF5F9" w:val="clear"/>
            <w:tcMar>
              <w:top w:type="dxa" w:w="80"/>
              <w:left w:type="dxa" w:w="120"/>
              <w:bottom w:type="dxa" w:w="80"/>
              <w:right w:type="dxa" w:w="120"/>
            </w:tcMar>
            <w:vAlign w:val="center"/>
          </w:tcPr>
          <w:p>
            <w:pPr>
              <w:spacing w:after="60" w:before="60"/>
              <w:jc w:val="left"/>
            </w:pPr>
            <w:r>
              <w:rPr>
                <w:b w:val="false"/>
                <w:bCs w:val="false"/>
                <w:color w:val="333333"/>
                <w:sz w:val="18"/>
                <w:szCs w:val="18"/>
              </w:rPr>
              <w:t xml:space="preserve">1 year per window</w:t>
            </w:r>
          </w:p>
        </w:tc>
      </w:tr>
      <w:tr>
        <w:tc>
          <w:tcPr>
            <w:tcW w:type="dxa" w:w="4200"/>
            <w:tcBorders>
              <w:top w:val="single" w:color="AACCDD" w:sz="4"/>
              <w:left w:val="single" w:color="AACCDD" w:sz="4"/>
              <w:bottom w:val="single" w:color="AACCDD" w:sz="4"/>
              <w:right w:val="single" w:color="AACCDD" w:sz="4"/>
            </w:tcBorders>
            <w:shd w:fill="FFFFFF" w:val="clear"/>
            <w:tcMar>
              <w:top w:type="dxa" w:w="80"/>
              <w:left w:type="dxa" w:w="120"/>
              <w:bottom w:type="dxa" w:w="80"/>
              <w:right w:type="dxa" w:w="120"/>
            </w:tcMar>
            <w:vAlign w:val="center"/>
          </w:tcPr>
          <w:p>
            <w:pPr>
              <w:spacing w:after="60" w:before="60"/>
              <w:jc w:val="left"/>
            </w:pPr>
            <w:r>
              <w:rPr>
                <w:b w:val="false"/>
                <w:bCs w:val="false"/>
                <w:color w:val="333333"/>
                <w:sz w:val="18"/>
                <w:szCs w:val="18"/>
              </w:rPr>
              <w:t xml:space="preserve">Total OOS Coverage</w:t>
            </w:r>
          </w:p>
        </w:tc>
        <w:tc>
          <w:tcPr>
            <w:tcW w:type="dxa" w:w="5880"/>
            <w:tcBorders>
              <w:top w:val="single" w:color="AACCDD" w:sz="4"/>
              <w:left w:val="single" w:color="AACCDD" w:sz="4"/>
              <w:bottom w:val="single" w:color="AACCDD" w:sz="4"/>
              <w:right w:val="single" w:color="AACCDD" w:sz="4"/>
            </w:tcBorders>
            <w:shd w:fill="FFFFFF" w:val="clear"/>
            <w:tcMar>
              <w:top w:type="dxa" w:w="80"/>
              <w:left w:type="dxa" w:w="120"/>
              <w:bottom w:type="dxa" w:w="80"/>
              <w:right w:type="dxa" w:w="120"/>
            </w:tcMar>
            <w:vAlign w:val="center"/>
          </w:tcPr>
          <w:p>
            <w:pPr>
              <w:spacing w:after="60" w:before="60"/>
              <w:jc w:val="left"/>
            </w:pPr>
            <w:r>
              <w:rPr>
                <w:b w:val="false"/>
                <w:bCs w:val="false"/>
                <w:color w:val="333333"/>
                <w:sz w:val="18"/>
                <w:szCs w:val="18"/>
              </w:rPr>
              <w:t xml:space="preserve">2020 to 2026 (5.5 years)</w:t>
            </w:r>
          </w:p>
        </w:tc>
      </w:tr>
      <w:tr>
        <w:tc>
          <w:tcPr>
            <w:tcW w:type="dxa" w:w="4200"/>
            <w:tcBorders>
              <w:top w:val="single" w:color="AACCDD" w:sz="4"/>
              <w:left w:val="single" w:color="AACCDD" w:sz="4"/>
              <w:bottom w:val="single" w:color="AACCDD" w:sz="4"/>
              <w:right w:val="single" w:color="AACCDD" w:sz="4"/>
            </w:tcBorders>
            <w:shd w:fill="EEF5F9" w:val="clear"/>
            <w:tcMar>
              <w:top w:type="dxa" w:w="80"/>
              <w:left w:type="dxa" w:w="120"/>
              <w:bottom w:type="dxa" w:w="80"/>
              <w:right w:type="dxa" w:w="120"/>
            </w:tcMar>
            <w:vAlign w:val="center"/>
          </w:tcPr>
          <w:p>
            <w:pPr>
              <w:spacing w:after="60" w:before="60"/>
              <w:jc w:val="left"/>
            </w:pPr>
            <w:r>
              <w:rPr>
                <w:b w:val="false"/>
                <w:bCs w:val="false"/>
                <w:color w:val="333333"/>
                <w:sz w:val="18"/>
                <w:szCs w:val="18"/>
              </w:rPr>
              <w:t xml:space="preserve">Parameter Search</w:t>
            </w:r>
          </w:p>
        </w:tc>
        <w:tc>
          <w:tcPr>
            <w:tcW w:type="dxa" w:w="5880"/>
            <w:tcBorders>
              <w:top w:val="single" w:color="AACCDD" w:sz="4"/>
              <w:left w:val="single" w:color="AACCDD" w:sz="4"/>
              <w:bottom w:val="single" w:color="AACCDD" w:sz="4"/>
              <w:right w:val="single" w:color="AACCDD" w:sz="4"/>
            </w:tcBorders>
            <w:shd w:fill="EEF5F9" w:val="clear"/>
            <w:tcMar>
              <w:top w:type="dxa" w:w="80"/>
              <w:left w:type="dxa" w:w="120"/>
              <w:bottom w:type="dxa" w:w="80"/>
              <w:right w:type="dxa" w:w="120"/>
            </w:tcMar>
            <w:vAlign w:val="center"/>
          </w:tcPr>
          <w:p>
            <w:pPr>
              <w:spacing w:after="60" w:before="60"/>
              <w:jc w:val="left"/>
            </w:pPr>
            <w:r>
              <w:rPr>
                <w:b w:val="false"/>
                <w:bCs w:val="false"/>
                <w:color w:val="333333"/>
                <w:sz w:val="18"/>
                <w:szCs w:val="18"/>
              </w:rPr>
              <w:t xml:space="preserve">Grid search over TOP_N and factor weights</w:t>
            </w:r>
          </w:p>
        </w:tc>
      </w:tr>
      <w:tr>
        <w:tc>
          <w:tcPr>
            <w:tcW w:type="dxa" w:w="4200"/>
            <w:tcBorders>
              <w:top w:val="single" w:color="AACCDD" w:sz="4"/>
              <w:left w:val="single" w:color="AACCDD" w:sz="4"/>
              <w:bottom w:val="single" w:color="AACCDD" w:sz="4"/>
              <w:right w:val="single" w:color="AACCDD" w:sz="4"/>
            </w:tcBorders>
            <w:shd w:fill="FFFFFF" w:val="clear"/>
            <w:tcMar>
              <w:top w:type="dxa" w:w="80"/>
              <w:left w:type="dxa" w:w="120"/>
              <w:bottom w:type="dxa" w:w="80"/>
              <w:right w:type="dxa" w:w="120"/>
            </w:tcMar>
            <w:vAlign w:val="center"/>
          </w:tcPr>
          <w:p>
            <w:pPr>
              <w:spacing w:after="60" w:before="60"/>
              <w:jc w:val="left"/>
            </w:pPr>
            <w:r>
              <w:rPr>
                <w:b w:val="false"/>
                <w:bCs w:val="false"/>
                <w:color w:val="333333"/>
                <w:sz w:val="18"/>
                <w:szCs w:val="18"/>
              </w:rPr>
              <w:t xml:space="preserve">Optimization Metric</w:t>
            </w:r>
          </w:p>
        </w:tc>
        <w:tc>
          <w:tcPr>
            <w:tcW w:type="dxa" w:w="5880"/>
            <w:tcBorders>
              <w:top w:val="single" w:color="AACCDD" w:sz="4"/>
              <w:left w:val="single" w:color="AACCDD" w:sz="4"/>
              <w:bottom w:val="single" w:color="AACCDD" w:sz="4"/>
              <w:right w:val="single" w:color="AACCDD" w:sz="4"/>
            </w:tcBorders>
            <w:shd w:fill="FFFFFF" w:val="clear"/>
            <w:tcMar>
              <w:top w:type="dxa" w:w="80"/>
              <w:left w:type="dxa" w:w="120"/>
              <w:bottom w:type="dxa" w:w="80"/>
              <w:right w:type="dxa" w:w="120"/>
            </w:tcMar>
            <w:vAlign w:val="center"/>
          </w:tcPr>
          <w:p>
            <w:pPr>
              <w:spacing w:after="60" w:before="60"/>
              <w:jc w:val="left"/>
            </w:pPr>
            <w:r>
              <w:rPr>
                <w:b w:val="false"/>
                <w:bCs w:val="false"/>
                <w:color w:val="333333"/>
                <w:sz w:val="18"/>
                <w:szCs w:val="18"/>
              </w:rPr>
              <w:t xml:space="preserve">Sharpe Ratio (in-sample only)</w:t>
            </w:r>
          </w:p>
        </w:tc>
      </w:tr>
      <w:tr>
        <w:tc>
          <w:tcPr>
            <w:tcW w:type="dxa" w:w="4200"/>
            <w:tcBorders>
              <w:top w:val="single" w:color="AACCDD" w:sz="4"/>
              <w:left w:val="single" w:color="AACCDD" w:sz="4"/>
              <w:bottom w:val="single" w:color="AACCDD" w:sz="4"/>
              <w:right w:val="single" w:color="AACCDD" w:sz="4"/>
            </w:tcBorders>
            <w:shd w:fill="EEF5F9" w:val="clear"/>
            <w:tcMar>
              <w:top w:type="dxa" w:w="80"/>
              <w:left w:type="dxa" w:w="120"/>
              <w:bottom w:type="dxa" w:w="80"/>
              <w:right w:type="dxa" w:w="120"/>
            </w:tcMar>
            <w:vAlign w:val="center"/>
          </w:tcPr>
          <w:p>
            <w:pPr>
              <w:spacing w:after="60" w:before="60"/>
              <w:jc w:val="left"/>
            </w:pPr>
            <w:r>
              <w:rPr>
                <w:b w:val="false"/>
                <w:bCs w:val="false"/>
                <w:color w:val="333333"/>
                <w:sz w:val="18"/>
                <w:szCs w:val="18"/>
              </w:rPr>
              <w:t xml:space="preserve">Slippage</w:t>
            </w:r>
          </w:p>
        </w:tc>
        <w:tc>
          <w:tcPr>
            <w:tcW w:type="dxa" w:w="5880"/>
            <w:tcBorders>
              <w:top w:val="single" w:color="AACCDD" w:sz="4"/>
              <w:left w:val="single" w:color="AACCDD" w:sz="4"/>
              <w:bottom w:val="single" w:color="AACCDD" w:sz="4"/>
              <w:right w:val="single" w:color="AACCDD" w:sz="4"/>
            </w:tcBorders>
            <w:shd w:fill="EEF5F9" w:val="clear"/>
            <w:tcMar>
              <w:top w:type="dxa" w:w="80"/>
              <w:left w:type="dxa" w:w="120"/>
              <w:bottom w:type="dxa" w:w="80"/>
              <w:right w:type="dxa" w:w="120"/>
            </w:tcMar>
            <w:vAlign w:val="center"/>
          </w:tcPr>
          <w:p>
            <w:pPr>
              <w:spacing w:after="60" w:before="60"/>
              <w:jc w:val="left"/>
            </w:pPr>
            <w:r>
              <w:rPr>
                <w:b w:val="false"/>
                <w:bCs w:val="false"/>
                <w:color w:val="333333"/>
                <w:sz w:val="18"/>
                <w:szCs w:val="18"/>
              </w:rPr>
              <w:t xml:space="preserve">0.1% per side (0.2% round-trip)</w:t>
            </w:r>
          </w:p>
        </w:tc>
      </w:tr>
      <w:tr>
        <w:tc>
          <w:tcPr>
            <w:tcW w:type="dxa" w:w="4200"/>
            <w:tcBorders>
              <w:top w:val="single" w:color="AACCDD" w:sz="4"/>
              <w:left w:val="single" w:color="AACCDD" w:sz="4"/>
              <w:bottom w:val="single" w:color="AACCDD" w:sz="4"/>
              <w:right w:val="single" w:color="AACCDD" w:sz="4"/>
            </w:tcBorders>
            <w:shd w:fill="FFFFFF" w:val="clear"/>
            <w:tcMar>
              <w:top w:type="dxa" w:w="80"/>
              <w:left w:type="dxa" w:w="120"/>
              <w:bottom w:type="dxa" w:w="80"/>
              <w:right w:type="dxa" w:w="120"/>
            </w:tcMar>
            <w:vAlign w:val="center"/>
          </w:tcPr>
          <w:p>
            <w:pPr>
              <w:spacing w:after="60" w:before="60"/>
              <w:jc w:val="left"/>
            </w:pPr>
            <w:r>
              <w:rPr>
                <w:b w:val="false"/>
                <w:bCs w:val="false"/>
                <w:color w:val="333333"/>
                <w:sz w:val="18"/>
                <w:szCs w:val="18"/>
              </w:rPr>
              <w:t xml:space="preserve">Entry Price</w:t>
            </w:r>
          </w:p>
        </w:tc>
        <w:tc>
          <w:tcPr>
            <w:tcW w:type="dxa" w:w="5880"/>
            <w:tcBorders>
              <w:top w:val="single" w:color="AACCDD" w:sz="4"/>
              <w:left w:val="single" w:color="AACCDD" w:sz="4"/>
              <w:bottom w:val="single" w:color="AACCDD" w:sz="4"/>
              <w:right w:val="single" w:color="AACCDD" w:sz="4"/>
            </w:tcBorders>
            <w:shd w:fill="FFFFFF" w:val="clear"/>
            <w:tcMar>
              <w:top w:type="dxa" w:w="80"/>
              <w:left w:type="dxa" w:w="120"/>
              <w:bottom w:type="dxa" w:w="80"/>
              <w:right w:type="dxa" w:w="120"/>
            </w:tcMar>
            <w:vAlign w:val="center"/>
          </w:tcPr>
          <w:p>
            <w:pPr>
              <w:spacing w:after="60" w:before="60"/>
              <w:jc w:val="left"/>
            </w:pPr>
            <w:r>
              <w:rPr>
                <w:b w:val="false"/>
                <w:bCs w:val="false"/>
                <w:color w:val="333333"/>
                <w:sz w:val="18"/>
                <w:szCs w:val="18"/>
              </w:rPr>
              <w:t xml:space="preserve">Next-day open (no look-ahead bias)</w:t>
            </w:r>
          </w:p>
        </w:tc>
      </w:tr>
      <w:tr>
        <w:tc>
          <w:tcPr>
            <w:tcW w:type="dxa" w:w="4200"/>
            <w:tcBorders>
              <w:top w:val="single" w:color="AACCDD" w:sz="4"/>
              <w:left w:val="single" w:color="AACCDD" w:sz="4"/>
              <w:bottom w:val="single" w:color="AACCDD" w:sz="4"/>
              <w:right w:val="single" w:color="AACCDD" w:sz="4"/>
            </w:tcBorders>
            <w:shd w:fill="EEF5F9" w:val="clear"/>
            <w:tcMar>
              <w:top w:type="dxa" w:w="80"/>
              <w:left w:type="dxa" w:w="120"/>
              <w:bottom w:type="dxa" w:w="80"/>
              <w:right w:type="dxa" w:w="120"/>
            </w:tcMar>
            <w:vAlign w:val="center"/>
          </w:tcPr>
          <w:p>
            <w:pPr>
              <w:spacing w:after="60" w:before="60"/>
              <w:jc w:val="left"/>
            </w:pPr>
            <w:r>
              <w:rPr>
                <w:b w:val="false"/>
                <w:bCs w:val="false"/>
                <w:color w:val="333333"/>
                <w:sz w:val="18"/>
                <w:szCs w:val="18"/>
              </w:rPr>
              <w:t xml:space="preserve">Liquidity Filter</w:t>
            </w:r>
          </w:p>
        </w:tc>
        <w:tc>
          <w:tcPr>
            <w:tcW w:type="dxa" w:w="5880"/>
            <w:tcBorders>
              <w:top w:val="single" w:color="AACCDD" w:sz="4"/>
              <w:left w:val="single" w:color="AACCDD" w:sz="4"/>
              <w:bottom w:val="single" w:color="AACCDD" w:sz="4"/>
              <w:right w:val="single" w:color="AACCDD" w:sz="4"/>
            </w:tcBorders>
            <w:shd w:fill="EEF5F9" w:val="clear"/>
            <w:tcMar>
              <w:top w:type="dxa" w:w="80"/>
              <w:left w:type="dxa" w:w="120"/>
              <w:bottom w:type="dxa" w:w="80"/>
              <w:right w:type="dxa" w:w="120"/>
            </w:tcMar>
            <w:vAlign w:val="center"/>
          </w:tcPr>
          <w:p>
            <w:pPr>
              <w:spacing w:after="60" w:before="60"/>
              <w:jc w:val="left"/>
            </w:pPr>
            <w:r>
              <w:rPr>
                <w:b w:val="false"/>
                <w:bCs w:val="false"/>
                <w:color w:val="333333"/>
                <w:sz w:val="18"/>
                <w:szCs w:val="18"/>
              </w:rPr>
              <w:t xml:space="preserve">Minimum 500,000 average daily volume</w:t>
            </w:r>
          </w:p>
        </w:tc>
      </w:tr>
    </w:tbl>
    <w:p>
      <w:pPr>
        <w:spacing w:after="120" w:before="0"/>
      </w:pPr>
    </w:p>
    <w:p>
      <w:pPr>
        <w:pStyle w:val="Heading2"/>
        <w:pBdr>
          <w:bottom w:val="single" w:color="2C4A8C" w:sz="6"/>
        </w:pBdr>
        <w:spacing w:after="100" w:before="200"/>
      </w:pPr>
      <w:r>
        <w:rPr>
          <w:b/>
          <w:bCs/>
          <w:color w:val="1a2744"/>
          <w:sz w:val="24"/>
          <w:szCs w:val="24"/>
        </w:rPr>
        <w:t xml:space="preserve">2.3  Overfitting Decay Formula</w:t>
      </w:r>
    </w:p>
    <w:p>
      <w:pPr>
        <w:spacing w:after="60" w:before="0"/>
      </w:pPr>
    </w:p>
    <w:tbl>
      <w:tblPr>
        <w:tblW w:type="dxa" w:w="10080"/>
        <w:tblBorders>
          <w:top w:val="single" w:color="auto" w:sz="4"/>
          <w:left w:val="single" w:color="auto" w:sz="4"/>
          <w:bottom w:val="single" w:color="auto" w:sz="4"/>
          <w:right w:val="single" w:color="auto" w:sz="4"/>
          <w:insideH w:val="single" w:color="auto" w:sz="4"/>
          <w:insideV w:val="single" w:color="auto" w:sz="4"/>
        </w:tblBorders>
      </w:tblPr>
      <w:tblGrid>
        <w:gridCol w:w="10080"/>
      </w:tblGrid>
      <w:tr>
        <w:tc>
          <w:tcPr>
            <w:tcW w:type="dxa" w:w="10080"/>
            <w:tcBorders>
              <w:top w:val="single" w:color="2C4A8C" w:sz="6"/>
              <w:left w:val="single" w:color="2C4A8C" w:sz="6"/>
              <w:bottom w:val="single" w:color="2C4A8C" w:sz="6"/>
              <w:right w:val="single" w:color="2C4A8C" w:sz="6"/>
            </w:tcBorders>
            <w:shd w:fill="EDF3F8" w:val="clear"/>
            <w:tcMar>
              <w:top w:type="dxa" w:w="80"/>
              <w:left w:type="dxa" w:w="120"/>
              <w:bottom w:type="dxa" w:w="80"/>
              <w:right w:type="dxa" w:w="120"/>
            </w:tcMar>
          </w:tcPr>
          <w:p>
            <w:pPr>
              <w:spacing w:after="80" w:before="80"/>
              <w:jc w:val="center"/>
            </w:pPr>
            <w:r>
              <w:rPr>
                <w:rFonts w:ascii="Courier New" w:cs="Courier New" w:eastAsia="Courier New" w:hAnsi="Courier New"/>
                <w:b/>
                <w:bCs/>
                <w:color w:val="1a2744"/>
                <w:sz w:val="22"/>
                <w:szCs w:val="22"/>
              </w:rPr>
              <w:t xml:space="preserve">Decay = (IS Sharpe - OOS Sharpe) / IS Sharpe</w:t>
            </w:r>
          </w:p>
        </w:tc>
      </w:tr>
    </w:tbl>
    <w:p>
      <w:pPr>
        <w:spacing w:after="100" w:before="0"/>
      </w:pPr>
    </w:p>
    <w:tbl>
      <w:tblPr>
        <w:tblW w:type="dxa" w:w="10080"/>
        <w:tblBorders>
          <w:top w:val="single" w:color="AACCDD" w:sz="4"/>
          <w:left w:val="single" w:color="AACCDD" w:sz="4"/>
          <w:bottom w:val="single" w:color="AACCDD" w:sz="4"/>
          <w:right w:val="single" w:color="AACCDD" w:sz="4"/>
          <w:insideH w:val="single" w:color="auto" w:sz="4"/>
          <w:insideV w:val="single" w:color="auto" w:sz="4"/>
        </w:tblBorders>
      </w:tblPr>
      <w:tblGrid>
        <w:gridCol w:w="2400"/>
        <w:gridCol w:w="7680"/>
      </w:tblGrid>
      <w:tr>
        <w:trPr>
          <w:tblHeader/>
        </w:trPr>
        <w:tc>
          <w:tcPr>
            <w:tcW w:type="dxa" w:w="2400"/>
            <w:tcBorders>
              <w:top w:val="single" w:color="AACCDD" w:sz="4"/>
              <w:left w:val="single" w:color="AACCDD" w:sz="4"/>
              <w:bottom w:val="single" w:color="AACCDD" w:sz="4"/>
              <w:right w:val="single" w:color="AACCDD" w:sz="4"/>
            </w:tcBorders>
            <w:shd w:fill="D5E8F0" w:val="clear"/>
            <w:tcMar>
              <w:top w:type="dxa" w:w="80"/>
              <w:left w:type="dxa" w:w="120"/>
              <w:bottom w:type="dxa" w:w="80"/>
              <w:right w:type="dxa" w:w="120"/>
            </w:tcMar>
            <w:vAlign w:val="center"/>
          </w:tcPr>
          <w:p>
            <w:pPr>
              <w:spacing w:after="60" w:before="60"/>
              <w:jc w:val="left"/>
            </w:pPr>
            <w:r>
              <w:rPr>
                <w:b/>
                <w:bCs/>
                <w:color w:val="1a2744"/>
                <w:sz w:val="18"/>
                <w:szCs w:val="18"/>
              </w:rPr>
              <w:t xml:space="preserve">Decay Value</w:t>
            </w:r>
          </w:p>
        </w:tc>
        <w:tc>
          <w:tcPr>
            <w:tcW w:type="dxa" w:w="7680"/>
            <w:tcBorders>
              <w:top w:val="single" w:color="AACCDD" w:sz="4"/>
              <w:left w:val="single" w:color="AACCDD" w:sz="4"/>
              <w:bottom w:val="single" w:color="AACCDD" w:sz="4"/>
              <w:right w:val="single" w:color="AACCDD" w:sz="4"/>
            </w:tcBorders>
            <w:shd w:fill="D5E8F0" w:val="clear"/>
            <w:tcMar>
              <w:top w:type="dxa" w:w="80"/>
              <w:left w:type="dxa" w:w="120"/>
              <w:bottom w:type="dxa" w:w="80"/>
              <w:right w:type="dxa" w:w="120"/>
            </w:tcMar>
            <w:vAlign w:val="center"/>
          </w:tcPr>
          <w:p>
            <w:pPr>
              <w:spacing w:after="60" w:before="60"/>
              <w:jc w:val="left"/>
            </w:pPr>
            <w:r>
              <w:rPr>
                <w:b/>
                <w:bCs/>
                <w:color w:val="1a2744"/>
                <w:sz w:val="18"/>
                <w:szCs w:val="18"/>
              </w:rPr>
              <w:t xml:space="preserve">Interpretation</w:t>
            </w:r>
          </w:p>
        </w:tc>
      </w:tr>
      <w:tr>
        <w:tc>
          <w:tcPr>
            <w:tcW w:type="dxa" w:w="2400"/>
            <w:tcBorders>
              <w:top w:val="single" w:color="AACCDD" w:sz="4"/>
              <w:left w:val="single" w:color="AACCDD" w:sz="4"/>
              <w:bottom w:val="single" w:color="AACCDD" w:sz="4"/>
              <w:right w:val="single" w:color="AACCDD" w:sz="4"/>
            </w:tcBorders>
            <w:shd w:fill="FFFFFF" w:val="clear"/>
            <w:tcMar>
              <w:top w:type="dxa" w:w="80"/>
              <w:left w:type="dxa" w:w="120"/>
              <w:bottom w:type="dxa" w:w="80"/>
              <w:right w:type="dxa" w:w="120"/>
            </w:tcMar>
            <w:vAlign w:val="center"/>
          </w:tcPr>
          <w:p>
            <w:pPr>
              <w:spacing w:after="60" w:before="60"/>
              <w:jc w:val="left"/>
            </w:pPr>
            <w:r>
              <w:rPr>
                <w:b w:val="false"/>
                <w:bCs w:val="false"/>
                <w:color w:val="333333"/>
                <w:sz w:val="18"/>
                <w:szCs w:val="18"/>
              </w:rPr>
              <w:t xml:space="preserve">&lt; 0.0</w:t>
            </w:r>
          </w:p>
        </w:tc>
        <w:tc>
          <w:tcPr>
            <w:tcW w:type="dxa" w:w="7680"/>
            <w:tcBorders>
              <w:top w:val="single" w:color="AACCDD" w:sz="4"/>
              <w:left w:val="single" w:color="AACCDD" w:sz="4"/>
              <w:bottom w:val="single" w:color="AACCDD" w:sz="4"/>
              <w:right w:val="single" w:color="AACCDD" w:sz="4"/>
            </w:tcBorders>
            <w:shd w:fill="FFFFFF" w:val="clear"/>
            <w:tcMar>
              <w:top w:type="dxa" w:w="80"/>
              <w:left w:type="dxa" w:w="120"/>
              <w:bottom w:type="dxa" w:w="80"/>
              <w:right w:type="dxa" w:w="120"/>
            </w:tcMar>
            <w:vAlign w:val="center"/>
          </w:tcPr>
          <w:p>
            <w:pPr>
              <w:spacing w:after="60" w:before="60"/>
              <w:jc w:val="left"/>
            </w:pPr>
            <w:r>
              <w:rPr>
                <w:b w:val="false"/>
                <w:bCs w:val="false"/>
                <w:color w:val="333333"/>
                <w:sz w:val="18"/>
                <w:szCs w:val="18"/>
              </w:rPr>
              <w:t xml:space="preserve">OOS beats IS — excellent (negative overfitting)</w:t>
            </w:r>
          </w:p>
        </w:tc>
      </w:tr>
      <w:tr>
        <w:tc>
          <w:tcPr>
            <w:tcW w:type="dxa" w:w="2400"/>
            <w:tcBorders>
              <w:top w:val="single" w:color="AACCDD" w:sz="4"/>
              <w:left w:val="single" w:color="AACCDD" w:sz="4"/>
              <w:bottom w:val="single" w:color="AACCDD" w:sz="4"/>
              <w:right w:val="single" w:color="AACCDD" w:sz="4"/>
            </w:tcBorders>
            <w:shd w:fill="EEF5F9" w:val="clear"/>
            <w:tcMar>
              <w:top w:type="dxa" w:w="80"/>
              <w:left w:type="dxa" w:w="120"/>
              <w:bottom w:type="dxa" w:w="80"/>
              <w:right w:type="dxa" w:w="120"/>
            </w:tcMar>
            <w:vAlign w:val="center"/>
          </w:tcPr>
          <w:p>
            <w:pPr>
              <w:spacing w:after="60" w:before="60"/>
              <w:jc w:val="left"/>
            </w:pPr>
            <w:r>
              <w:rPr>
                <w:b w:val="false"/>
                <w:bCs w:val="false"/>
                <w:color w:val="333333"/>
                <w:sz w:val="18"/>
                <w:szCs w:val="18"/>
              </w:rPr>
              <w:t xml:space="preserve">0.0 – 0.20</w:t>
            </w:r>
          </w:p>
        </w:tc>
        <w:tc>
          <w:tcPr>
            <w:tcW w:type="dxa" w:w="7680"/>
            <w:tcBorders>
              <w:top w:val="single" w:color="AACCDD" w:sz="4"/>
              <w:left w:val="single" w:color="AACCDD" w:sz="4"/>
              <w:bottom w:val="single" w:color="AACCDD" w:sz="4"/>
              <w:right w:val="single" w:color="AACCDD" w:sz="4"/>
            </w:tcBorders>
            <w:shd w:fill="EEF5F9" w:val="clear"/>
            <w:tcMar>
              <w:top w:type="dxa" w:w="80"/>
              <w:left w:type="dxa" w:w="120"/>
              <w:bottom w:type="dxa" w:w="80"/>
              <w:right w:type="dxa" w:w="120"/>
            </w:tcMar>
            <w:vAlign w:val="center"/>
          </w:tcPr>
          <w:p>
            <w:pPr>
              <w:spacing w:after="60" w:before="60"/>
              <w:jc w:val="left"/>
            </w:pPr>
            <w:r>
              <w:rPr>
                <w:b w:val="false"/>
                <w:bCs w:val="false"/>
                <w:color w:val="333333"/>
                <w:sz w:val="18"/>
                <w:szCs w:val="18"/>
              </w:rPr>
              <w:t xml:space="preserve">Very low decay — highly robust</w:t>
            </w:r>
          </w:p>
        </w:tc>
      </w:tr>
      <w:tr>
        <w:tc>
          <w:tcPr>
            <w:tcW w:type="dxa" w:w="2400"/>
            <w:tcBorders>
              <w:top w:val="single" w:color="AACCDD" w:sz="4"/>
              <w:left w:val="single" w:color="AACCDD" w:sz="4"/>
              <w:bottom w:val="single" w:color="AACCDD" w:sz="4"/>
              <w:right w:val="single" w:color="AACCDD" w:sz="4"/>
            </w:tcBorders>
            <w:shd w:fill="FFFFFF" w:val="clear"/>
            <w:tcMar>
              <w:top w:type="dxa" w:w="80"/>
              <w:left w:type="dxa" w:w="120"/>
              <w:bottom w:type="dxa" w:w="80"/>
              <w:right w:type="dxa" w:w="120"/>
            </w:tcMar>
            <w:vAlign w:val="center"/>
          </w:tcPr>
          <w:p>
            <w:pPr>
              <w:spacing w:after="60" w:before="60"/>
              <w:jc w:val="left"/>
            </w:pPr>
            <w:r>
              <w:rPr>
                <w:b w:val="false"/>
                <w:bCs w:val="false"/>
                <w:color w:val="333333"/>
                <w:sz w:val="18"/>
                <w:szCs w:val="18"/>
              </w:rPr>
              <w:t xml:space="preserve">0.20 – 0.40</w:t>
            </w:r>
          </w:p>
        </w:tc>
        <w:tc>
          <w:tcPr>
            <w:tcW w:type="dxa" w:w="7680"/>
            <w:tcBorders>
              <w:top w:val="single" w:color="AACCDD" w:sz="4"/>
              <w:left w:val="single" w:color="AACCDD" w:sz="4"/>
              <w:bottom w:val="single" w:color="AACCDD" w:sz="4"/>
              <w:right w:val="single" w:color="AACCDD" w:sz="4"/>
            </w:tcBorders>
            <w:shd w:fill="FFFFFF" w:val="clear"/>
            <w:tcMar>
              <w:top w:type="dxa" w:w="80"/>
              <w:left w:type="dxa" w:w="120"/>
              <w:bottom w:type="dxa" w:w="80"/>
              <w:right w:type="dxa" w:w="120"/>
            </w:tcMar>
            <w:vAlign w:val="center"/>
          </w:tcPr>
          <w:p>
            <w:pPr>
              <w:spacing w:after="60" w:before="60"/>
              <w:jc w:val="left"/>
            </w:pPr>
            <w:r>
              <w:rPr>
                <w:b w:val="false"/>
                <w:bCs w:val="false"/>
                <w:color w:val="333333"/>
                <w:sz w:val="18"/>
                <w:szCs w:val="18"/>
              </w:rPr>
              <w:t xml:space="preserve">Moderate decay — confirmed real edge</w:t>
            </w:r>
          </w:p>
        </w:tc>
      </w:tr>
      <w:tr>
        <w:tc>
          <w:tcPr>
            <w:tcW w:type="dxa" w:w="2400"/>
            <w:tcBorders>
              <w:top w:val="single" w:color="AACCDD" w:sz="4"/>
              <w:left w:val="single" w:color="AACCDD" w:sz="4"/>
              <w:bottom w:val="single" w:color="AACCDD" w:sz="4"/>
              <w:right w:val="single" w:color="AACCDD" w:sz="4"/>
            </w:tcBorders>
            <w:shd w:fill="EEF5F9" w:val="clear"/>
            <w:tcMar>
              <w:top w:type="dxa" w:w="80"/>
              <w:left w:type="dxa" w:w="120"/>
              <w:bottom w:type="dxa" w:w="80"/>
              <w:right w:type="dxa" w:w="120"/>
            </w:tcMar>
            <w:vAlign w:val="center"/>
          </w:tcPr>
          <w:p>
            <w:pPr>
              <w:spacing w:after="60" w:before="60"/>
              <w:jc w:val="left"/>
            </w:pPr>
            <w:r>
              <w:rPr>
                <w:b w:val="false"/>
                <w:bCs w:val="false"/>
                <w:color w:val="333333"/>
                <w:sz w:val="18"/>
                <w:szCs w:val="18"/>
              </w:rPr>
              <w:t xml:space="preserve">0.40 – 0.60</w:t>
            </w:r>
          </w:p>
        </w:tc>
        <w:tc>
          <w:tcPr>
            <w:tcW w:type="dxa" w:w="7680"/>
            <w:tcBorders>
              <w:top w:val="single" w:color="AACCDD" w:sz="4"/>
              <w:left w:val="single" w:color="AACCDD" w:sz="4"/>
              <w:bottom w:val="single" w:color="AACCDD" w:sz="4"/>
              <w:right w:val="single" w:color="AACCDD" w:sz="4"/>
            </w:tcBorders>
            <w:shd w:fill="EEF5F9" w:val="clear"/>
            <w:tcMar>
              <w:top w:type="dxa" w:w="80"/>
              <w:left w:type="dxa" w:w="120"/>
              <w:bottom w:type="dxa" w:w="80"/>
              <w:right w:type="dxa" w:w="120"/>
            </w:tcMar>
            <w:vAlign w:val="center"/>
          </w:tcPr>
          <w:p>
            <w:pPr>
              <w:spacing w:after="60" w:before="60"/>
              <w:jc w:val="left"/>
            </w:pPr>
            <w:r>
              <w:rPr>
                <w:b w:val="false"/>
                <w:bCs w:val="false"/>
                <w:color w:val="333333"/>
                <w:sz w:val="18"/>
                <w:szCs w:val="18"/>
              </w:rPr>
              <w:t xml:space="preserve">High decay — edge questionable</w:t>
            </w:r>
          </w:p>
        </w:tc>
      </w:tr>
      <w:tr>
        <w:tc>
          <w:tcPr>
            <w:tcW w:type="dxa" w:w="2400"/>
            <w:tcBorders>
              <w:top w:val="single" w:color="AACCDD" w:sz="4"/>
              <w:left w:val="single" w:color="AACCDD" w:sz="4"/>
              <w:bottom w:val="single" w:color="AACCDD" w:sz="4"/>
              <w:right w:val="single" w:color="AACCDD" w:sz="4"/>
            </w:tcBorders>
            <w:shd w:fill="FFFFFF" w:val="clear"/>
            <w:tcMar>
              <w:top w:type="dxa" w:w="80"/>
              <w:left w:type="dxa" w:w="120"/>
              <w:bottom w:type="dxa" w:w="80"/>
              <w:right w:type="dxa" w:w="120"/>
            </w:tcMar>
            <w:vAlign w:val="center"/>
          </w:tcPr>
          <w:p>
            <w:pPr>
              <w:spacing w:after="60" w:before="60"/>
              <w:jc w:val="left"/>
            </w:pPr>
            <w:r>
              <w:rPr>
                <w:b w:val="false"/>
                <w:bCs w:val="false"/>
                <w:color w:val="333333"/>
                <w:sz w:val="18"/>
                <w:szCs w:val="18"/>
              </w:rPr>
              <w:t xml:space="preserve">&gt; 0.60</w:t>
            </w:r>
          </w:p>
        </w:tc>
        <w:tc>
          <w:tcPr>
            <w:tcW w:type="dxa" w:w="7680"/>
            <w:tcBorders>
              <w:top w:val="single" w:color="AACCDD" w:sz="4"/>
              <w:left w:val="single" w:color="AACCDD" w:sz="4"/>
              <w:bottom w:val="single" w:color="AACCDD" w:sz="4"/>
              <w:right w:val="single" w:color="AACCDD" w:sz="4"/>
            </w:tcBorders>
            <w:shd w:fill="FFFFFF" w:val="clear"/>
            <w:tcMar>
              <w:top w:type="dxa" w:w="80"/>
              <w:left w:type="dxa" w:w="120"/>
              <w:bottom w:type="dxa" w:w="80"/>
              <w:right w:type="dxa" w:w="120"/>
            </w:tcMar>
            <w:vAlign w:val="center"/>
          </w:tcPr>
          <w:p>
            <w:pPr>
              <w:spacing w:after="60" w:before="60"/>
              <w:jc w:val="left"/>
            </w:pPr>
            <w:r>
              <w:rPr>
                <w:b w:val="false"/>
                <w:bCs w:val="false"/>
                <w:color w:val="333333"/>
                <w:sz w:val="18"/>
                <w:szCs w:val="18"/>
              </w:rPr>
              <w:t xml:space="preserve">Severe overfitting — strategy unreliable</w:t>
            </w:r>
          </w:p>
        </w:tc>
      </w:tr>
    </w:tbl>
    <w:p>
      <w:pPr>
        <w:spacing w:after="80" w:before="0"/>
      </w:pPr>
    </w:p>
    <w:p>
      <w:pPr>
        <w:spacing w:after="60" w:before="60"/>
        <w:jc w:val="left"/>
      </w:pPr>
      <w:r>
        <w:rPr>
          <w:b/>
          <w:bCs/>
          <w:i w:val="false"/>
          <w:iCs w:val="false"/>
          <w:color w:val="1a2744"/>
          <w:sz w:val="20"/>
          <w:szCs w:val="20"/>
        </w:rPr>
        <w:t xml:space="preserve">StockQueen V4 Decay Score: 0.23  →  Confirmed real edge, moderate and acceptable decay.</w:t>
      </w:r>
    </w:p>
    <w:p>
      <w:pPr>
        <w:spacing w:after="120" w:before="0"/>
      </w:pPr>
    </w:p>
    <w:p>
      <w:pPr>
        <w:pStyle w:val="Heading2"/>
        <w:pBdr>
          <w:bottom w:val="single" w:color="2C4A8C" w:sz="6"/>
        </w:pBdr>
        <w:spacing w:after="100" w:before="200"/>
      </w:pPr>
      <w:r>
        <w:rPr>
          <w:b/>
          <w:bCs/>
          <w:color w:val="1a2744"/>
          <w:sz w:val="24"/>
          <w:szCs w:val="24"/>
        </w:rPr>
        <w:t xml:space="preserve">2.4  Pre-Locked Parameters (Anti-Overfitting Measures)</w:t>
      </w:r>
    </w:p>
    <w:p>
      <w:pPr>
        <w:spacing w:after="60" w:before="60"/>
        <w:jc w:val="left"/>
      </w:pPr>
      <w:r>
        <w:rPr>
          <w:b w:val="false"/>
          <w:bCs w:val="false"/>
          <w:i w:val="false"/>
          <w:iCs w:val="false"/>
          <w:color w:val="333333"/>
          <w:sz w:val="20"/>
          <w:szCs w:val="20"/>
        </w:rPr>
        <w:t xml:space="preserve">To prevent overfitting during the walk-forward search, key risk parameters were locked BEFORE any walk-forward search was conducted:</w:t>
      </w:r>
    </w:p>
    <w:p>
      <w:pPr>
        <w:spacing w:after="60" w:before="0"/>
      </w:pPr>
    </w:p>
    <w:tbl>
      <w:tblPr>
        <w:tblW w:type="dxa" w:w="10080"/>
        <w:tblBorders>
          <w:top w:val="single" w:color="AACCDD" w:sz="4"/>
          <w:left w:val="single" w:color="AACCDD" w:sz="4"/>
          <w:bottom w:val="single" w:color="AACCDD" w:sz="4"/>
          <w:right w:val="single" w:color="AACCDD" w:sz="4"/>
          <w:insideH w:val="single" w:color="auto" w:sz="4"/>
          <w:insideV w:val="single" w:color="auto" w:sz="4"/>
        </w:tblBorders>
      </w:tblPr>
      <w:tblGrid>
        <w:gridCol w:w="3200"/>
        <w:gridCol w:w="2400"/>
        <w:gridCol w:w="4480"/>
      </w:tblGrid>
      <w:tr>
        <w:trPr>
          <w:tblHeader/>
        </w:trPr>
        <w:tc>
          <w:tcPr>
            <w:tcW w:type="dxa" w:w="3200"/>
            <w:tcBorders>
              <w:top w:val="single" w:color="AACCDD" w:sz="4"/>
              <w:left w:val="single" w:color="AACCDD" w:sz="4"/>
              <w:bottom w:val="single" w:color="AACCDD" w:sz="4"/>
              <w:right w:val="single" w:color="AACCDD" w:sz="4"/>
            </w:tcBorders>
            <w:shd w:fill="D5E8F0" w:val="clear"/>
            <w:tcMar>
              <w:top w:type="dxa" w:w="80"/>
              <w:left w:type="dxa" w:w="120"/>
              <w:bottom w:type="dxa" w:w="80"/>
              <w:right w:type="dxa" w:w="120"/>
            </w:tcMar>
            <w:vAlign w:val="center"/>
          </w:tcPr>
          <w:p>
            <w:pPr>
              <w:spacing w:after="60" w:before="60"/>
              <w:jc w:val="left"/>
            </w:pPr>
            <w:r>
              <w:rPr>
                <w:b/>
                <w:bCs/>
                <w:color w:val="1a2744"/>
                <w:sz w:val="18"/>
                <w:szCs w:val="18"/>
              </w:rPr>
              <w:t xml:space="preserve">Parameter</w:t>
            </w:r>
          </w:p>
        </w:tc>
        <w:tc>
          <w:tcPr>
            <w:tcW w:type="dxa" w:w="2400"/>
            <w:tcBorders>
              <w:top w:val="single" w:color="AACCDD" w:sz="4"/>
              <w:left w:val="single" w:color="AACCDD" w:sz="4"/>
              <w:bottom w:val="single" w:color="AACCDD" w:sz="4"/>
              <w:right w:val="single" w:color="AACCDD" w:sz="4"/>
            </w:tcBorders>
            <w:shd w:fill="D5E8F0" w:val="clear"/>
            <w:tcMar>
              <w:top w:type="dxa" w:w="80"/>
              <w:left w:type="dxa" w:w="120"/>
              <w:bottom w:type="dxa" w:w="80"/>
              <w:right w:type="dxa" w:w="120"/>
            </w:tcMar>
            <w:vAlign w:val="center"/>
          </w:tcPr>
          <w:p>
            <w:pPr>
              <w:spacing w:after="60" w:before="60"/>
              <w:jc w:val="left"/>
            </w:pPr>
            <w:r>
              <w:rPr>
                <w:b/>
                <w:bCs/>
                <w:color w:val="1a2744"/>
                <w:sz w:val="18"/>
                <w:szCs w:val="18"/>
              </w:rPr>
              <w:t xml:space="preserve">Locked Value</w:t>
            </w:r>
          </w:p>
        </w:tc>
        <w:tc>
          <w:tcPr>
            <w:tcW w:type="dxa" w:w="4480"/>
            <w:tcBorders>
              <w:top w:val="single" w:color="AACCDD" w:sz="4"/>
              <w:left w:val="single" w:color="AACCDD" w:sz="4"/>
              <w:bottom w:val="single" w:color="AACCDD" w:sz="4"/>
              <w:right w:val="single" w:color="AACCDD" w:sz="4"/>
            </w:tcBorders>
            <w:shd w:fill="D5E8F0" w:val="clear"/>
            <w:tcMar>
              <w:top w:type="dxa" w:w="80"/>
              <w:left w:type="dxa" w:w="120"/>
              <w:bottom w:type="dxa" w:w="80"/>
              <w:right w:type="dxa" w:w="120"/>
            </w:tcMar>
            <w:vAlign w:val="center"/>
          </w:tcPr>
          <w:p>
            <w:pPr>
              <w:spacing w:after="60" w:before="60"/>
              <w:jc w:val="left"/>
            </w:pPr>
            <w:r>
              <w:rPr>
                <w:b/>
                <w:bCs/>
                <w:color w:val="1a2744"/>
                <w:sz w:val="18"/>
                <w:szCs w:val="18"/>
              </w:rPr>
              <w:t xml:space="preserve">Reason</w:t>
            </w:r>
          </w:p>
        </w:tc>
      </w:tr>
      <w:tr>
        <w:tc>
          <w:tcPr>
            <w:tcW w:type="dxa" w:w="3200"/>
            <w:tcBorders>
              <w:top w:val="single" w:color="AACCDD" w:sz="4"/>
              <w:left w:val="single" w:color="AACCDD" w:sz="4"/>
              <w:bottom w:val="single" w:color="AACCDD" w:sz="4"/>
              <w:right w:val="single" w:color="AACCDD" w:sz="4"/>
            </w:tcBorders>
            <w:shd w:fill="FFFFFF" w:val="clear"/>
            <w:tcMar>
              <w:top w:type="dxa" w:w="80"/>
              <w:left w:type="dxa" w:w="120"/>
              <w:bottom w:type="dxa" w:w="80"/>
              <w:right w:type="dxa" w:w="120"/>
            </w:tcMar>
            <w:vAlign w:val="center"/>
          </w:tcPr>
          <w:p>
            <w:pPr>
              <w:spacing w:after="60" w:before="60"/>
              <w:jc w:val="left"/>
            </w:pPr>
            <w:r>
              <w:rPr>
                <w:b w:val="false"/>
                <w:bCs w:val="false"/>
                <w:color w:val="333333"/>
                <w:sz w:val="18"/>
                <w:szCs w:val="18"/>
              </w:rPr>
              <w:t xml:space="preserve">ATR_STOP_MULT</w:t>
            </w:r>
          </w:p>
        </w:tc>
        <w:tc>
          <w:tcPr>
            <w:tcW w:type="dxa" w:w="2400"/>
            <w:tcBorders>
              <w:top w:val="single" w:color="AACCDD" w:sz="4"/>
              <w:left w:val="single" w:color="AACCDD" w:sz="4"/>
              <w:bottom w:val="single" w:color="AACCDD" w:sz="4"/>
              <w:right w:val="single" w:color="AACCDD" w:sz="4"/>
            </w:tcBorders>
            <w:shd w:fill="FFFFFF" w:val="clear"/>
            <w:tcMar>
              <w:top w:type="dxa" w:w="80"/>
              <w:left w:type="dxa" w:w="120"/>
              <w:bottom w:type="dxa" w:w="80"/>
              <w:right w:type="dxa" w:w="120"/>
            </w:tcMar>
            <w:vAlign w:val="center"/>
          </w:tcPr>
          <w:p>
            <w:pPr>
              <w:spacing w:after="60" w:before="60"/>
              <w:jc w:val="left"/>
            </w:pPr>
            <w:r>
              <w:rPr>
                <w:b w:val="false"/>
                <w:bCs w:val="false"/>
                <w:color w:val="333333"/>
                <w:sz w:val="18"/>
                <w:szCs w:val="18"/>
              </w:rPr>
              <w:t xml:space="preserve">1.5×</w:t>
            </w:r>
          </w:p>
        </w:tc>
        <w:tc>
          <w:tcPr>
            <w:tcW w:type="dxa" w:w="4480"/>
            <w:tcBorders>
              <w:top w:val="single" w:color="AACCDD" w:sz="4"/>
              <w:left w:val="single" w:color="AACCDD" w:sz="4"/>
              <w:bottom w:val="single" w:color="AACCDD" w:sz="4"/>
              <w:right w:val="single" w:color="AACCDD" w:sz="4"/>
            </w:tcBorders>
            <w:shd w:fill="FFFFFF" w:val="clear"/>
            <w:tcMar>
              <w:top w:type="dxa" w:w="80"/>
              <w:left w:type="dxa" w:w="120"/>
              <w:bottom w:type="dxa" w:w="80"/>
              <w:right w:type="dxa" w:w="120"/>
            </w:tcMar>
            <w:vAlign w:val="center"/>
          </w:tcPr>
          <w:p>
            <w:pPr>
              <w:spacing w:after="60" w:before="60"/>
              <w:jc w:val="left"/>
            </w:pPr>
            <w:r>
              <w:rPr>
                <w:b w:val="false"/>
                <w:bCs w:val="false"/>
                <w:color w:val="333333"/>
                <w:sz w:val="18"/>
                <w:szCs w:val="18"/>
              </w:rPr>
              <w:t xml:space="preserve">Pre-determined risk philosophy</w:t>
            </w:r>
          </w:p>
        </w:tc>
      </w:tr>
      <w:tr>
        <w:tc>
          <w:tcPr>
            <w:tcW w:type="dxa" w:w="3200"/>
            <w:tcBorders>
              <w:top w:val="single" w:color="AACCDD" w:sz="4"/>
              <w:left w:val="single" w:color="AACCDD" w:sz="4"/>
              <w:bottom w:val="single" w:color="AACCDD" w:sz="4"/>
              <w:right w:val="single" w:color="AACCDD" w:sz="4"/>
            </w:tcBorders>
            <w:shd w:fill="EEF5F9" w:val="clear"/>
            <w:tcMar>
              <w:top w:type="dxa" w:w="80"/>
              <w:left w:type="dxa" w:w="120"/>
              <w:bottom w:type="dxa" w:w="80"/>
              <w:right w:type="dxa" w:w="120"/>
            </w:tcMar>
            <w:vAlign w:val="center"/>
          </w:tcPr>
          <w:p>
            <w:pPr>
              <w:spacing w:after="60" w:before="60"/>
              <w:jc w:val="left"/>
            </w:pPr>
            <w:r>
              <w:rPr>
                <w:b w:val="false"/>
                <w:bCs w:val="false"/>
                <w:color w:val="333333"/>
                <w:sz w:val="18"/>
                <w:szCs w:val="18"/>
              </w:rPr>
              <w:t xml:space="preserve">TRAILING_STOP_MULT</w:t>
            </w:r>
          </w:p>
        </w:tc>
        <w:tc>
          <w:tcPr>
            <w:tcW w:type="dxa" w:w="2400"/>
            <w:tcBorders>
              <w:top w:val="single" w:color="AACCDD" w:sz="4"/>
              <w:left w:val="single" w:color="AACCDD" w:sz="4"/>
              <w:bottom w:val="single" w:color="AACCDD" w:sz="4"/>
              <w:right w:val="single" w:color="AACCDD" w:sz="4"/>
            </w:tcBorders>
            <w:shd w:fill="EEF5F9" w:val="clear"/>
            <w:tcMar>
              <w:top w:type="dxa" w:w="80"/>
              <w:left w:type="dxa" w:w="120"/>
              <w:bottom w:type="dxa" w:w="80"/>
              <w:right w:type="dxa" w:w="120"/>
            </w:tcMar>
            <w:vAlign w:val="center"/>
          </w:tcPr>
          <w:p>
            <w:pPr>
              <w:spacing w:after="60" w:before="60"/>
              <w:jc w:val="left"/>
            </w:pPr>
            <w:r>
              <w:rPr>
                <w:b w:val="false"/>
                <w:bCs w:val="false"/>
                <w:color w:val="333333"/>
                <w:sz w:val="18"/>
                <w:szCs w:val="18"/>
              </w:rPr>
              <w:t xml:space="preserve">1.5×</w:t>
            </w:r>
          </w:p>
        </w:tc>
        <w:tc>
          <w:tcPr>
            <w:tcW w:type="dxa" w:w="4480"/>
            <w:tcBorders>
              <w:top w:val="single" w:color="AACCDD" w:sz="4"/>
              <w:left w:val="single" w:color="AACCDD" w:sz="4"/>
              <w:bottom w:val="single" w:color="AACCDD" w:sz="4"/>
              <w:right w:val="single" w:color="AACCDD" w:sz="4"/>
            </w:tcBorders>
            <w:shd w:fill="EEF5F9" w:val="clear"/>
            <w:tcMar>
              <w:top w:type="dxa" w:w="80"/>
              <w:left w:type="dxa" w:w="120"/>
              <w:bottom w:type="dxa" w:w="80"/>
              <w:right w:type="dxa" w:w="120"/>
            </w:tcMar>
            <w:vAlign w:val="center"/>
          </w:tcPr>
          <w:p>
            <w:pPr>
              <w:spacing w:after="60" w:before="60"/>
              <w:jc w:val="left"/>
            </w:pPr>
            <w:r>
              <w:rPr>
                <w:b w:val="false"/>
                <w:bCs w:val="false"/>
                <w:color w:val="333333"/>
                <w:sz w:val="18"/>
                <w:szCs w:val="18"/>
              </w:rPr>
              <w:t xml:space="preserve">Pre-determined risk philosophy</w:t>
            </w:r>
          </w:p>
        </w:tc>
      </w:tr>
      <w:tr>
        <w:tc>
          <w:tcPr>
            <w:tcW w:type="dxa" w:w="3200"/>
            <w:tcBorders>
              <w:top w:val="single" w:color="AACCDD" w:sz="4"/>
              <w:left w:val="single" w:color="AACCDD" w:sz="4"/>
              <w:bottom w:val="single" w:color="AACCDD" w:sz="4"/>
              <w:right w:val="single" w:color="AACCDD" w:sz="4"/>
            </w:tcBorders>
            <w:shd w:fill="FFFFFF" w:val="clear"/>
            <w:tcMar>
              <w:top w:type="dxa" w:w="80"/>
              <w:left w:type="dxa" w:w="120"/>
              <w:bottom w:type="dxa" w:w="80"/>
              <w:right w:type="dxa" w:w="120"/>
            </w:tcMar>
            <w:vAlign w:val="center"/>
          </w:tcPr>
          <w:p>
            <w:pPr>
              <w:spacing w:after="60" w:before="60"/>
              <w:jc w:val="left"/>
            </w:pPr>
            <w:r>
              <w:rPr>
                <w:b w:val="false"/>
                <w:bCs w:val="false"/>
                <w:color w:val="333333"/>
                <w:sz w:val="18"/>
                <w:szCs w:val="18"/>
              </w:rPr>
              <w:t xml:space="preserve">TRAILING_ACTIVATE</w:t>
            </w:r>
          </w:p>
        </w:tc>
        <w:tc>
          <w:tcPr>
            <w:tcW w:type="dxa" w:w="2400"/>
            <w:tcBorders>
              <w:top w:val="single" w:color="AACCDD" w:sz="4"/>
              <w:left w:val="single" w:color="AACCDD" w:sz="4"/>
              <w:bottom w:val="single" w:color="AACCDD" w:sz="4"/>
              <w:right w:val="single" w:color="AACCDD" w:sz="4"/>
            </w:tcBorders>
            <w:shd w:fill="FFFFFF" w:val="clear"/>
            <w:tcMar>
              <w:top w:type="dxa" w:w="80"/>
              <w:left w:type="dxa" w:w="120"/>
              <w:bottom w:type="dxa" w:w="80"/>
              <w:right w:type="dxa" w:w="120"/>
            </w:tcMar>
            <w:vAlign w:val="center"/>
          </w:tcPr>
          <w:p>
            <w:pPr>
              <w:spacing w:after="60" w:before="60"/>
              <w:jc w:val="left"/>
            </w:pPr>
            <w:r>
              <w:rPr>
                <w:b w:val="false"/>
                <w:bCs w:val="false"/>
                <w:color w:val="333333"/>
                <w:sz w:val="18"/>
                <w:szCs w:val="18"/>
              </w:rPr>
              <w:t xml:space="preserve">0.5× ATR</w:t>
            </w:r>
          </w:p>
        </w:tc>
        <w:tc>
          <w:tcPr>
            <w:tcW w:type="dxa" w:w="4480"/>
            <w:tcBorders>
              <w:top w:val="single" w:color="AACCDD" w:sz="4"/>
              <w:left w:val="single" w:color="AACCDD" w:sz="4"/>
              <w:bottom w:val="single" w:color="AACCDD" w:sz="4"/>
              <w:right w:val="single" w:color="AACCDD" w:sz="4"/>
            </w:tcBorders>
            <w:shd w:fill="FFFFFF" w:val="clear"/>
            <w:tcMar>
              <w:top w:type="dxa" w:w="80"/>
              <w:left w:type="dxa" w:w="120"/>
              <w:bottom w:type="dxa" w:w="80"/>
              <w:right w:type="dxa" w:w="120"/>
            </w:tcMar>
            <w:vAlign w:val="center"/>
          </w:tcPr>
          <w:p>
            <w:pPr>
              <w:spacing w:after="60" w:before="60"/>
              <w:jc w:val="left"/>
            </w:pPr>
            <w:r>
              <w:rPr>
                <w:b w:val="false"/>
                <w:bCs w:val="false"/>
                <w:color w:val="333333"/>
                <w:sz w:val="18"/>
                <w:szCs w:val="18"/>
              </w:rPr>
              <w:t xml:space="preserve">Pre-determined risk philosophy</w:t>
            </w:r>
          </w:p>
        </w:tc>
      </w:tr>
      <w:tr>
        <w:tc>
          <w:tcPr>
            <w:tcW w:type="dxa" w:w="3200"/>
            <w:tcBorders>
              <w:top w:val="single" w:color="AACCDD" w:sz="4"/>
              <w:left w:val="single" w:color="AACCDD" w:sz="4"/>
              <w:bottom w:val="single" w:color="AACCDD" w:sz="4"/>
              <w:right w:val="single" w:color="AACCDD" w:sz="4"/>
            </w:tcBorders>
            <w:shd w:fill="EEF5F9" w:val="clear"/>
            <w:tcMar>
              <w:top w:type="dxa" w:w="80"/>
              <w:left w:type="dxa" w:w="120"/>
              <w:bottom w:type="dxa" w:w="80"/>
              <w:right w:type="dxa" w:w="120"/>
            </w:tcMar>
            <w:vAlign w:val="center"/>
          </w:tcPr>
          <w:p>
            <w:pPr>
              <w:spacing w:after="60" w:before="60"/>
              <w:jc w:val="left"/>
            </w:pPr>
            <w:r>
              <w:rPr>
                <w:b w:val="false"/>
                <w:bCs w:val="false"/>
                <w:color w:val="333333"/>
                <w:sz w:val="18"/>
                <w:szCs w:val="18"/>
              </w:rPr>
              <w:t xml:space="preserve">Slippage</w:t>
            </w:r>
          </w:p>
        </w:tc>
        <w:tc>
          <w:tcPr>
            <w:tcW w:type="dxa" w:w="2400"/>
            <w:tcBorders>
              <w:top w:val="single" w:color="AACCDD" w:sz="4"/>
              <w:left w:val="single" w:color="AACCDD" w:sz="4"/>
              <w:bottom w:val="single" w:color="AACCDD" w:sz="4"/>
              <w:right w:val="single" w:color="AACCDD" w:sz="4"/>
            </w:tcBorders>
            <w:shd w:fill="EEF5F9" w:val="clear"/>
            <w:tcMar>
              <w:top w:type="dxa" w:w="80"/>
              <w:left w:type="dxa" w:w="120"/>
              <w:bottom w:type="dxa" w:w="80"/>
              <w:right w:type="dxa" w:w="120"/>
            </w:tcMar>
            <w:vAlign w:val="center"/>
          </w:tcPr>
          <w:p>
            <w:pPr>
              <w:spacing w:after="60" w:before="60"/>
              <w:jc w:val="left"/>
            </w:pPr>
            <w:r>
              <w:rPr>
                <w:b w:val="false"/>
                <w:bCs w:val="false"/>
                <w:color w:val="333333"/>
                <w:sz w:val="18"/>
                <w:szCs w:val="18"/>
              </w:rPr>
              <w:t xml:space="preserve">0.1% per side</w:t>
            </w:r>
          </w:p>
        </w:tc>
        <w:tc>
          <w:tcPr>
            <w:tcW w:type="dxa" w:w="4480"/>
            <w:tcBorders>
              <w:top w:val="single" w:color="AACCDD" w:sz="4"/>
              <w:left w:val="single" w:color="AACCDD" w:sz="4"/>
              <w:bottom w:val="single" w:color="AACCDD" w:sz="4"/>
              <w:right w:val="single" w:color="AACCDD" w:sz="4"/>
            </w:tcBorders>
            <w:shd w:fill="EEF5F9" w:val="clear"/>
            <w:tcMar>
              <w:top w:type="dxa" w:w="80"/>
              <w:left w:type="dxa" w:w="120"/>
              <w:bottom w:type="dxa" w:w="80"/>
              <w:right w:type="dxa" w:w="120"/>
            </w:tcMar>
            <w:vAlign w:val="center"/>
          </w:tcPr>
          <w:p>
            <w:pPr>
              <w:spacing w:after="60" w:before="60"/>
              <w:jc w:val="left"/>
            </w:pPr>
            <w:r>
              <w:rPr>
                <w:b w:val="false"/>
                <w:bCs w:val="false"/>
                <w:color w:val="333333"/>
                <w:sz w:val="18"/>
                <w:szCs w:val="18"/>
              </w:rPr>
              <w:t xml:space="preserve">Conservative real-world estimate</w:t>
            </w:r>
          </w:p>
        </w:tc>
      </w:tr>
      <w:tr>
        <w:tc>
          <w:tcPr>
            <w:tcW w:type="dxa" w:w="3200"/>
            <w:tcBorders>
              <w:top w:val="single" w:color="AACCDD" w:sz="4"/>
              <w:left w:val="single" w:color="AACCDD" w:sz="4"/>
              <w:bottom w:val="single" w:color="AACCDD" w:sz="4"/>
              <w:right w:val="single" w:color="AACCDD" w:sz="4"/>
            </w:tcBorders>
            <w:shd w:fill="FFFFFF" w:val="clear"/>
            <w:tcMar>
              <w:top w:type="dxa" w:w="80"/>
              <w:left w:type="dxa" w:w="120"/>
              <w:bottom w:type="dxa" w:w="80"/>
              <w:right w:type="dxa" w:w="120"/>
            </w:tcMar>
            <w:vAlign w:val="center"/>
          </w:tcPr>
          <w:p>
            <w:pPr>
              <w:spacing w:after="60" w:before="60"/>
              <w:jc w:val="left"/>
            </w:pPr>
            <w:r>
              <w:rPr>
                <w:b w:val="false"/>
                <w:bCs w:val="false"/>
                <w:color w:val="333333"/>
                <w:sz w:val="18"/>
                <w:szCs w:val="18"/>
              </w:rPr>
              <w:t xml:space="preserve">Liquidity Filter</w:t>
            </w:r>
          </w:p>
        </w:tc>
        <w:tc>
          <w:tcPr>
            <w:tcW w:type="dxa" w:w="2400"/>
            <w:tcBorders>
              <w:top w:val="single" w:color="AACCDD" w:sz="4"/>
              <w:left w:val="single" w:color="AACCDD" w:sz="4"/>
              <w:bottom w:val="single" w:color="AACCDD" w:sz="4"/>
              <w:right w:val="single" w:color="AACCDD" w:sz="4"/>
            </w:tcBorders>
            <w:shd w:fill="FFFFFF" w:val="clear"/>
            <w:tcMar>
              <w:top w:type="dxa" w:w="80"/>
              <w:left w:type="dxa" w:w="120"/>
              <w:bottom w:type="dxa" w:w="80"/>
              <w:right w:type="dxa" w:w="120"/>
            </w:tcMar>
            <w:vAlign w:val="center"/>
          </w:tcPr>
          <w:p>
            <w:pPr>
              <w:spacing w:after="60" w:before="60"/>
              <w:jc w:val="left"/>
            </w:pPr>
            <w:r>
              <w:rPr>
                <w:b w:val="false"/>
                <w:bCs w:val="false"/>
                <w:color w:val="333333"/>
                <w:sz w:val="18"/>
                <w:szCs w:val="18"/>
              </w:rPr>
              <w:t xml:space="preserve">500K avg vol</w:t>
            </w:r>
          </w:p>
        </w:tc>
        <w:tc>
          <w:tcPr>
            <w:tcW w:type="dxa" w:w="4480"/>
            <w:tcBorders>
              <w:top w:val="single" w:color="AACCDD" w:sz="4"/>
              <w:left w:val="single" w:color="AACCDD" w:sz="4"/>
              <w:bottom w:val="single" w:color="AACCDD" w:sz="4"/>
              <w:right w:val="single" w:color="AACCDD" w:sz="4"/>
            </w:tcBorders>
            <w:shd w:fill="FFFFFF" w:val="clear"/>
            <w:tcMar>
              <w:top w:type="dxa" w:w="80"/>
              <w:left w:type="dxa" w:w="120"/>
              <w:bottom w:type="dxa" w:w="80"/>
              <w:right w:type="dxa" w:w="120"/>
            </w:tcMar>
            <w:vAlign w:val="center"/>
          </w:tcPr>
          <w:p>
            <w:pPr>
              <w:spacing w:after="60" w:before="60"/>
              <w:jc w:val="left"/>
            </w:pPr>
            <w:r>
              <w:rPr>
                <w:b w:val="false"/>
                <w:bCs w:val="false"/>
                <w:color w:val="333333"/>
                <w:sz w:val="18"/>
                <w:szCs w:val="18"/>
              </w:rPr>
              <w:t xml:space="preserve">Conservative liquidity requirement</w:t>
            </w:r>
          </w:p>
        </w:tc>
      </w:tr>
    </w:tbl>
    <w:p>
      <w:pPr>
        <w:spacing w:after="80" w:before="0"/>
      </w:pPr>
    </w:p>
    <w:p>
      <w:pPr>
        <w:spacing w:after="60" w:before="60"/>
        <w:jc w:val="left"/>
      </w:pPr>
      <w:r>
        <w:rPr>
          <w:b w:val="false"/>
          <w:bCs w:val="false"/>
          <w:i/>
          <w:iCs/>
          <w:color w:val="333333"/>
          <w:sz w:val="20"/>
          <w:szCs w:val="20"/>
        </w:rPr>
        <w:t xml:space="preserve">By locking these parameters outside the search space, the search grid was deliberately reduced to prevent over-engineering.</w:t>
      </w:r>
    </w:p>
    <w:p>
      <w:pPr>
        <w:spacing w:after="80" w:before="0"/>
      </w:pPr>
    </w:p>
    <w:p>
      <w:r>
        <w:br w:type="page"/>
      </w:r>
    </w:p>
    <w:p>
      <w:pPr>
        <w:pStyle w:val="Heading1"/>
        <w:shd w:fill="1a2744" w:val="clear"/>
        <w:spacing w:after="160" w:before="280"/>
      </w:pPr>
      <w:r>
        <w:rPr>
          <w:b/>
          <w:bCs/>
          <w:color w:val="FFFFFF"/>
          <w:sz w:val="32"/>
          <w:szCs w:val="32"/>
        </w:rPr>
        <w:t xml:space="preserve">SECTION 3: V4 TREND MOMENTUM — DETAILED RESULTS</w:t>
      </w:r>
    </w:p>
    <w:p>
      <w:pPr>
        <w:spacing w:after="80" w:before="0"/>
      </w:pPr>
    </w:p>
    <w:p>
      <w:pPr>
        <w:pStyle w:val="Heading2"/>
        <w:pBdr>
          <w:bottom w:val="single" w:color="2C4A8C" w:sz="6"/>
        </w:pBdr>
        <w:spacing w:after="100" w:before="200"/>
      </w:pPr>
      <w:r>
        <w:rPr>
          <w:b/>
          <w:bCs/>
          <w:color w:val="1a2744"/>
          <w:sz w:val="24"/>
          <w:szCs w:val="24"/>
        </w:rPr>
        <w:t xml:space="preserve">3.1  Strategy Description</w:t>
      </w:r>
    </w:p>
    <w:p>
      <w:pPr>
        <w:spacing w:after="60" w:before="60"/>
        <w:jc w:val="left"/>
      </w:pPr>
      <w:r>
        <w:rPr>
          <w:b w:val="false"/>
          <w:bCs w:val="false"/>
          <w:i w:val="false"/>
          <w:iCs w:val="false"/>
          <w:color w:val="333333"/>
          <w:sz w:val="20"/>
          <w:szCs w:val="20"/>
        </w:rPr>
        <w:t xml:space="preserve">The V4 Trend Momentum strategy is the core strategy of the StockQueen system, allocating 60-70% of portfolio weight. It uses a 9-factor scoring model to rank 500+ U.S. equities weekly and holds the top 3 positions.</w:t>
      </w:r>
    </w:p>
    <w:p>
      <w:pPr>
        <w:spacing w:after="80" w:before="0"/>
      </w:pPr>
    </w:p>
    <w:p>
      <w:pPr>
        <w:spacing w:after="60" w:before="60"/>
        <w:jc w:val="left"/>
      </w:pPr>
      <w:r>
        <w:rPr>
          <w:b/>
          <w:bCs/>
          <w:i w:val="false"/>
          <w:iCs w:val="false"/>
          <w:color w:val="333333"/>
          <w:sz w:val="20"/>
          <w:szCs w:val="20"/>
        </w:rPr>
        <w:t xml:space="preserve">Nine Scoring Factors:</w:t>
      </w:r>
    </w:p>
    <w:p>
      <w:pPr>
        <w:spacing w:after="60" w:before="0"/>
      </w:pPr>
    </w:p>
    <w:tbl>
      <w:tblPr>
        <w:tblW w:type="dxa" w:w="10080"/>
        <w:tblBorders>
          <w:top w:val="single" w:color="AACCDD" w:sz="4"/>
          <w:left w:val="single" w:color="AACCDD" w:sz="4"/>
          <w:bottom w:val="single" w:color="AACCDD" w:sz="4"/>
          <w:right w:val="single" w:color="AACCDD" w:sz="4"/>
          <w:insideH w:val="single" w:color="auto" w:sz="4"/>
          <w:insideV w:val="single" w:color="auto" w:sz="4"/>
        </w:tblBorders>
      </w:tblPr>
      <w:tblGrid>
        <w:gridCol w:w="3200"/>
        <w:gridCol w:w="1960"/>
        <w:gridCol w:w="4920"/>
      </w:tblGrid>
      <w:tr>
        <w:trPr>
          <w:tblHeader/>
        </w:trPr>
        <w:tc>
          <w:tcPr>
            <w:tcW w:type="dxa" w:w="3200"/>
            <w:tcBorders>
              <w:top w:val="single" w:color="AACCDD" w:sz="4"/>
              <w:left w:val="single" w:color="AACCDD" w:sz="4"/>
              <w:bottom w:val="single" w:color="AACCDD" w:sz="4"/>
              <w:right w:val="single" w:color="AACCDD" w:sz="4"/>
            </w:tcBorders>
            <w:shd w:fill="D5E8F0" w:val="clear"/>
            <w:tcMar>
              <w:top w:type="dxa" w:w="80"/>
              <w:left w:type="dxa" w:w="120"/>
              <w:bottom w:type="dxa" w:w="80"/>
              <w:right w:type="dxa" w:w="120"/>
            </w:tcMar>
            <w:vAlign w:val="center"/>
          </w:tcPr>
          <w:p>
            <w:pPr>
              <w:spacing w:after="60" w:before="60"/>
              <w:jc w:val="left"/>
            </w:pPr>
            <w:r>
              <w:rPr>
                <w:b/>
                <w:bCs/>
                <w:color w:val="1a2744"/>
                <w:sz w:val="18"/>
                <w:szCs w:val="18"/>
              </w:rPr>
              <w:t xml:space="preserve">Factor</w:t>
            </w:r>
          </w:p>
        </w:tc>
        <w:tc>
          <w:tcPr>
            <w:tcW w:type="dxa" w:w="1960"/>
            <w:tcBorders>
              <w:top w:val="single" w:color="AACCDD" w:sz="4"/>
              <w:left w:val="single" w:color="AACCDD" w:sz="4"/>
              <w:bottom w:val="single" w:color="AACCDD" w:sz="4"/>
              <w:right w:val="single" w:color="AACCDD" w:sz="4"/>
            </w:tcBorders>
            <w:shd w:fill="D5E8F0" w:val="clear"/>
            <w:tcMar>
              <w:top w:type="dxa" w:w="80"/>
              <w:left w:type="dxa" w:w="120"/>
              <w:bottom w:type="dxa" w:w="80"/>
              <w:right w:type="dxa" w:w="120"/>
            </w:tcMar>
            <w:vAlign w:val="center"/>
          </w:tcPr>
          <w:p>
            <w:pPr>
              <w:spacing w:after="60" w:before="60"/>
              <w:jc w:val="left"/>
            </w:pPr>
            <w:r>
              <w:rPr>
                <w:b/>
                <w:bCs/>
                <w:color w:val="1a2744"/>
                <w:sz w:val="18"/>
                <w:szCs w:val="18"/>
              </w:rPr>
              <w:t xml:space="preserve">Category</w:t>
            </w:r>
          </w:p>
        </w:tc>
        <w:tc>
          <w:tcPr>
            <w:tcW w:type="dxa" w:w="4920"/>
            <w:tcBorders>
              <w:top w:val="single" w:color="AACCDD" w:sz="4"/>
              <w:left w:val="single" w:color="AACCDD" w:sz="4"/>
              <w:bottom w:val="single" w:color="AACCDD" w:sz="4"/>
              <w:right w:val="single" w:color="AACCDD" w:sz="4"/>
            </w:tcBorders>
            <w:shd w:fill="D5E8F0" w:val="clear"/>
            <w:tcMar>
              <w:top w:type="dxa" w:w="80"/>
              <w:left w:type="dxa" w:w="120"/>
              <w:bottom w:type="dxa" w:w="80"/>
              <w:right w:type="dxa" w:w="120"/>
            </w:tcMar>
            <w:vAlign w:val="center"/>
          </w:tcPr>
          <w:p>
            <w:pPr>
              <w:spacing w:after="60" w:before="60"/>
              <w:jc w:val="left"/>
            </w:pPr>
            <w:r>
              <w:rPr>
                <w:b/>
                <w:bCs/>
                <w:color w:val="1a2744"/>
                <w:sz w:val="18"/>
                <w:szCs w:val="18"/>
              </w:rPr>
              <w:t xml:space="preserve">Description</w:t>
            </w:r>
          </w:p>
        </w:tc>
      </w:tr>
      <w:tr>
        <w:tc>
          <w:tcPr>
            <w:tcW w:type="dxa" w:w="3200"/>
            <w:tcBorders>
              <w:top w:val="single" w:color="AACCDD" w:sz="4"/>
              <w:left w:val="single" w:color="AACCDD" w:sz="4"/>
              <w:bottom w:val="single" w:color="AACCDD" w:sz="4"/>
              <w:right w:val="single" w:color="AACCDD" w:sz="4"/>
            </w:tcBorders>
            <w:shd w:fill="FFFFFF" w:val="clear"/>
            <w:tcMar>
              <w:top w:type="dxa" w:w="80"/>
              <w:left w:type="dxa" w:w="120"/>
              <w:bottom w:type="dxa" w:w="80"/>
              <w:right w:type="dxa" w:w="120"/>
            </w:tcMar>
            <w:vAlign w:val="center"/>
          </w:tcPr>
          <w:p>
            <w:pPr>
              <w:spacing w:after="60" w:before="60"/>
              <w:jc w:val="left"/>
            </w:pPr>
            <w:r>
              <w:rPr>
                <w:b w:val="false"/>
                <w:bCs w:val="false"/>
                <w:color w:val="333333"/>
                <w:sz w:val="18"/>
                <w:szCs w:val="18"/>
              </w:rPr>
              <w:t xml:space="preserve">1-Week Momentum</w:t>
            </w:r>
          </w:p>
        </w:tc>
        <w:tc>
          <w:tcPr>
            <w:tcW w:type="dxa" w:w="1960"/>
            <w:tcBorders>
              <w:top w:val="single" w:color="AACCDD" w:sz="4"/>
              <w:left w:val="single" w:color="AACCDD" w:sz="4"/>
              <w:bottom w:val="single" w:color="AACCDD" w:sz="4"/>
              <w:right w:val="single" w:color="AACCDD" w:sz="4"/>
            </w:tcBorders>
            <w:shd w:fill="FFFFFF" w:val="clear"/>
            <w:tcMar>
              <w:top w:type="dxa" w:w="80"/>
              <w:left w:type="dxa" w:w="120"/>
              <w:bottom w:type="dxa" w:w="80"/>
              <w:right w:type="dxa" w:w="120"/>
            </w:tcMar>
            <w:vAlign w:val="center"/>
          </w:tcPr>
          <w:p>
            <w:pPr>
              <w:spacing w:after="60" w:before="60"/>
              <w:jc w:val="left"/>
            </w:pPr>
            <w:r>
              <w:rPr>
                <w:b w:val="false"/>
                <w:bCs w:val="false"/>
                <w:color w:val="333333"/>
                <w:sz w:val="18"/>
                <w:szCs w:val="18"/>
              </w:rPr>
              <w:t xml:space="preserve">Momentum</w:t>
            </w:r>
          </w:p>
        </w:tc>
        <w:tc>
          <w:tcPr>
            <w:tcW w:type="dxa" w:w="4920"/>
            <w:tcBorders>
              <w:top w:val="single" w:color="AACCDD" w:sz="4"/>
              <w:left w:val="single" w:color="AACCDD" w:sz="4"/>
              <w:bottom w:val="single" w:color="AACCDD" w:sz="4"/>
              <w:right w:val="single" w:color="AACCDD" w:sz="4"/>
            </w:tcBorders>
            <w:shd w:fill="FFFFFF" w:val="clear"/>
            <w:tcMar>
              <w:top w:type="dxa" w:w="80"/>
              <w:left w:type="dxa" w:w="120"/>
              <w:bottom w:type="dxa" w:w="80"/>
              <w:right w:type="dxa" w:w="120"/>
            </w:tcMar>
            <w:vAlign w:val="center"/>
          </w:tcPr>
          <w:p>
            <w:pPr>
              <w:spacing w:after="60" w:before="60"/>
              <w:jc w:val="left"/>
            </w:pPr>
            <w:r>
              <w:rPr>
                <w:b w:val="false"/>
                <w:bCs w:val="false"/>
                <w:color w:val="333333"/>
                <w:sz w:val="18"/>
                <w:szCs w:val="18"/>
              </w:rPr>
              <w:t xml:space="preserve">Short-term price momentum</w:t>
            </w:r>
          </w:p>
        </w:tc>
      </w:tr>
      <w:tr>
        <w:tc>
          <w:tcPr>
            <w:tcW w:type="dxa" w:w="3200"/>
            <w:tcBorders>
              <w:top w:val="single" w:color="AACCDD" w:sz="4"/>
              <w:left w:val="single" w:color="AACCDD" w:sz="4"/>
              <w:bottom w:val="single" w:color="AACCDD" w:sz="4"/>
              <w:right w:val="single" w:color="AACCDD" w:sz="4"/>
            </w:tcBorders>
            <w:shd w:fill="EEF5F9" w:val="clear"/>
            <w:tcMar>
              <w:top w:type="dxa" w:w="80"/>
              <w:left w:type="dxa" w:w="120"/>
              <w:bottom w:type="dxa" w:w="80"/>
              <w:right w:type="dxa" w:w="120"/>
            </w:tcMar>
            <w:vAlign w:val="center"/>
          </w:tcPr>
          <w:p>
            <w:pPr>
              <w:spacing w:after="60" w:before="60"/>
              <w:jc w:val="left"/>
            </w:pPr>
            <w:r>
              <w:rPr>
                <w:b w:val="false"/>
                <w:bCs w:val="false"/>
                <w:color w:val="333333"/>
                <w:sz w:val="18"/>
                <w:szCs w:val="18"/>
              </w:rPr>
              <w:t xml:space="preserve">1-Month Momentum</w:t>
            </w:r>
          </w:p>
        </w:tc>
        <w:tc>
          <w:tcPr>
            <w:tcW w:type="dxa" w:w="1960"/>
            <w:tcBorders>
              <w:top w:val="single" w:color="AACCDD" w:sz="4"/>
              <w:left w:val="single" w:color="AACCDD" w:sz="4"/>
              <w:bottom w:val="single" w:color="AACCDD" w:sz="4"/>
              <w:right w:val="single" w:color="AACCDD" w:sz="4"/>
            </w:tcBorders>
            <w:shd w:fill="EEF5F9" w:val="clear"/>
            <w:tcMar>
              <w:top w:type="dxa" w:w="80"/>
              <w:left w:type="dxa" w:w="120"/>
              <w:bottom w:type="dxa" w:w="80"/>
              <w:right w:type="dxa" w:w="120"/>
            </w:tcMar>
            <w:vAlign w:val="center"/>
          </w:tcPr>
          <w:p>
            <w:pPr>
              <w:spacing w:after="60" w:before="60"/>
              <w:jc w:val="left"/>
            </w:pPr>
            <w:r>
              <w:rPr>
                <w:b w:val="false"/>
                <w:bCs w:val="false"/>
                <w:color w:val="333333"/>
                <w:sz w:val="18"/>
                <w:szCs w:val="18"/>
              </w:rPr>
              <w:t xml:space="preserve">Momentum</w:t>
            </w:r>
          </w:p>
        </w:tc>
        <w:tc>
          <w:tcPr>
            <w:tcW w:type="dxa" w:w="4920"/>
            <w:tcBorders>
              <w:top w:val="single" w:color="AACCDD" w:sz="4"/>
              <w:left w:val="single" w:color="AACCDD" w:sz="4"/>
              <w:bottom w:val="single" w:color="AACCDD" w:sz="4"/>
              <w:right w:val="single" w:color="AACCDD" w:sz="4"/>
            </w:tcBorders>
            <w:shd w:fill="EEF5F9" w:val="clear"/>
            <w:tcMar>
              <w:top w:type="dxa" w:w="80"/>
              <w:left w:type="dxa" w:w="120"/>
              <w:bottom w:type="dxa" w:w="80"/>
              <w:right w:type="dxa" w:w="120"/>
            </w:tcMar>
            <w:vAlign w:val="center"/>
          </w:tcPr>
          <w:p>
            <w:pPr>
              <w:spacing w:after="60" w:before="60"/>
              <w:jc w:val="left"/>
            </w:pPr>
            <w:r>
              <w:rPr>
                <w:b w:val="false"/>
                <w:bCs w:val="false"/>
                <w:color w:val="333333"/>
                <w:sz w:val="18"/>
                <w:szCs w:val="18"/>
              </w:rPr>
              <w:t xml:space="preserve">Medium-term price momentum</w:t>
            </w:r>
          </w:p>
        </w:tc>
      </w:tr>
      <w:tr>
        <w:tc>
          <w:tcPr>
            <w:tcW w:type="dxa" w:w="3200"/>
            <w:tcBorders>
              <w:top w:val="single" w:color="AACCDD" w:sz="4"/>
              <w:left w:val="single" w:color="AACCDD" w:sz="4"/>
              <w:bottom w:val="single" w:color="AACCDD" w:sz="4"/>
              <w:right w:val="single" w:color="AACCDD" w:sz="4"/>
            </w:tcBorders>
            <w:shd w:fill="FFFFFF" w:val="clear"/>
            <w:tcMar>
              <w:top w:type="dxa" w:w="80"/>
              <w:left w:type="dxa" w:w="120"/>
              <w:bottom w:type="dxa" w:w="80"/>
              <w:right w:type="dxa" w:w="120"/>
            </w:tcMar>
            <w:vAlign w:val="center"/>
          </w:tcPr>
          <w:p>
            <w:pPr>
              <w:spacing w:after="60" w:before="60"/>
              <w:jc w:val="left"/>
            </w:pPr>
            <w:r>
              <w:rPr>
                <w:b w:val="false"/>
                <w:bCs w:val="false"/>
                <w:color w:val="333333"/>
                <w:sz w:val="18"/>
                <w:szCs w:val="18"/>
              </w:rPr>
              <w:t xml:space="preserve">3-Month Momentum</w:t>
            </w:r>
          </w:p>
        </w:tc>
        <w:tc>
          <w:tcPr>
            <w:tcW w:type="dxa" w:w="1960"/>
            <w:tcBorders>
              <w:top w:val="single" w:color="AACCDD" w:sz="4"/>
              <w:left w:val="single" w:color="AACCDD" w:sz="4"/>
              <w:bottom w:val="single" w:color="AACCDD" w:sz="4"/>
              <w:right w:val="single" w:color="AACCDD" w:sz="4"/>
            </w:tcBorders>
            <w:shd w:fill="FFFFFF" w:val="clear"/>
            <w:tcMar>
              <w:top w:type="dxa" w:w="80"/>
              <w:left w:type="dxa" w:w="120"/>
              <w:bottom w:type="dxa" w:w="80"/>
              <w:right w:type="dxa" w:w="120"/>
            </w:tcMar>
            <w:vAlign w:val="center"/>
          </w:tcPr>
          <w:p>
            <w:pPr>
              <w:spacing w:after="60" w:before="60"/>
              <w:jc w:val="left"/>
            </w:pPr>
            <w:r>
              <w:rPr>
                <w:b w:val="false"/>
                <w:bCs w:val="false"/>
                <w:color w:val="333333"/>
                <w:sz w:val="18"/>
                <w:szCs w:val="18"/>
              </w:rPr>
              <w:t xml:space="preserve">Momentum</w:t>
            </w:r>
          </w:p>
        </w:tc>
        <w:tc>
          <w:tcPr>
            <w:tcW w:type="dxa" w:w="4920"/>
            <w:tcBorders>
              <w:top w:val="single" w:color="AACCDD" w:sz="4"/>
              <w:left w:val="single" w:color="AACCDD" w:sz="4"/>
              <w:bottom w:val="single" w:color="AACCDD" w:sz="4"/>
              <w:right w:val="single" w:color="AACCDD" w:sz="4"/>
            </w:tcBorders>
            <w:shd w:fill="FFFFFF" w:val="clear"/>
            <w:tcMar>
              <w:top w:type="dxa" w:w="80"/>
              <w:left w:type="dxa" w:w="120"/>
              <w:bottom w:type="dxa" w:w="80"/>
              <w:right w:type="dxa" w:w="120"/>
            </w:tcMar>
            <w:vAlign w:val="center"/>
          </w:tcPr>
          <w:p>
            <w:pPr>
              <w:spacing w:after="60" w:before="60"/>
              <w:jc w:val="left"/>
            </w:pPr>
            <w:r>
              <w:rPr>
                <w:b w:val="false"/>
                <w:bCs w:val="false"/>
                <w:color w:val="333333"/>
                <w:sz w:val="18"/>
                <w:szCs w:val="18"/>
              </w:rPr>
              <w:t xml:space="preserve">Long-term price momentum</w:t>
            </w:r>
          </w:p>
        </w:tc>
      </w:tr>
      <w:tr>
        <w:tc>
          <w:tcPr>
            <w:tcW w:type="dxa" w:w="3200"/>
            <w:tcBorders>
              <w:top w:val="single" w:color="AACCDD" w:sz="4"/>
              <w:left w:val="single" w:color="AACCDD" w:sz="4"/>
              <w:bottom w:val="single" w:color="AACCDD" w:sz="4"/>
              <w:right w:val="single" w:color="AACCDD" w:sz="4"/>
            </w:tcBorders>
            <w:shd w:fill="EEF5F9" w:val="clear"/>
            <w:tcMar>
              <w:top w:type="dxa" w:w="80"/>
              <w:left w:type="dxa" w:w="120"/>
              <w:bottom w:type="dxa" w:w="80"/>
              <w:right w:type="dxa" w:w="120"/>
            </w:tcMar>
            <w:vAlign w:val="center"/>
          </w:tcPr>
          <w:p>
            <w:pPr>
              <w:spacing w:after="60" w:before="60"/>
              <w:jc w:val="left"/>
            </w:pPr>
            <w:r>
              <w:rPr>
                <w:b w:val="false"/>
                <w:bCs w:val="false"/>
                <w:color w:val="333333"/>
                <w:sz w:val="18"/>
                <w:szCs w:val="18"/>
              </w:rPr>
              <w:t xml:space="preserve">RSI Score</w:t>
            </w:r>
          </w:p>
        </w:tc>
        <w:tc>
          <w:tcPr>
            <w:tcW w:type="dxa" w:w="1960"/>
            <w:tcBorders>
              <w:top w:val="single" w:color="AACCDD" w:sz="4"/>
              <w:left w:val="single" w:color="AACCDD" w:sz="4"/>
              <w:bottom w:val="single" w:color="AACCDD" w:sz="4"/>
              <w:right w:val="single" w:color="AACCDD" w:sz="4"/>
            </w:tcBorders>
            <w:shd w:fill="EEF5F9" w:val="clear"/>
            <w:tcMar>
              <w:top w:type="dxa" w:w="80"/>
              <w:left w:type="dxa" w:w="120"/>
              <w:bottom w:type="dxa" w:w="80"/>
              <w:right w:type="dxa" w:w="120"/>
            </w:tcMar>
            <w:vAlign w:val="center"/>
          </w:tcPr>
          <w:p>
            <w:pPr>
              <w:spacing w:after="60" w:before="60"/>
              <w:jc w:val="left"/>
            </w:pPr>
            <w:r>
              <w:rPr>
                <w:b w:val="false"/>
                <w:bCs w:val="false"/>
                <w:color w:val="333333"/>
                <w:sz w:val="18"/>
                <w:szCs w:val="18"/>
              </w:rPr>
              <w:t xml:space="preserve">Technical</w:t>
            </w:r>
          </w:p>
        </w:tc>
        <w:tc>
          <w:tcPr>
            <w:tcW w:type="dxa" w:w="4920"/>
            <w:tcBorders>
              <w:top w:val="single" w:color="AACCDD" w:sz="4"/>
              <w:left w:val="single" w:color="AACCDD" w:sz="4"/>
              <w:bottom w:val="single" w:color="AACCDD" w:sz="4"/>
              <w:right w:val="single" w:color="AACCDD" w:sz="4"/>
            </w:tcBorders>
            <w:shd w:fill="EEF5F9" w:val="clear"/>
            <w:tcMar>
              <w:top w:type="dxa" w:w="80"/>
              <w:left w:type="dxa" w:w="120"/>
              <w:bottom w:type="dxa" w:w="80"/>
              <w:right w:type="dxa" w:w="120"/>
            </w:tcMar>
            <w:vAlign w:val="center"/>
          </w:tcPr>
          <w:p>
            <w:pPr>
              <w:spacing w:after="60" w:before="60"/>
              <w:jc w:val="left"/>
            </w:pPr>
            <w:r>
              <w:rPr>
                <w:b w:val="false"/>
                <w:bCs w:val="false"/>
                <w:color w:val="333333"/>
                <w:sz w:val="18"/>
                <w:szCs w:val="18"/>
              </w:rPr>
              <w:t xml:space="preserve">Relative Strength vs overbought/oversold</w:t>
            </w:r>
          </w:p>
        </w:tc>
      </w:tr>
      <w:tr>
        <w:tc>
          <w:tcPr>
            <w:tcW w:type="dxa" w:w="3200"/>
            <w:tcBorders>
              <w:top w:val="single" w:color="AACCDD" w:sz="4"/>
              <w:left w:val="single" w:color="AACCDD" w:sz="4"/>
              <w:bottom w:val="single" w:color="AACCDD" w:sz="4"/>
              <w:right w:val="single" w:color="AACCDD" w:sz="4"/>
            </w:tcBorders>
            <w:shd w:fill="FFFFFF" w:val="clear"/>
            <w:tcMar>
              <w:top w:type="dxa" w:w="80"/>
              <w:left w:type="dxa" w:w="120"/>
              <w:bottom w:type="dxa" w:w="80"/>
              <w:right w:type="dxa" w:w="120"/>
            </w:tcMar>
            <w:vAlign w:val="center"/>
          </w:tcPr>
          <w:p>
            <w:pPr>
              <w:spacing w:after="60" w:before="60"/>
              <w:jc w:val="left"/>
            </w:pPr>
            <w:r>
              <w:rPr>
                <w:b w:val="false"/>
                <w:bCs w:val="false"/>
                <w:color w:val="333333"/>
                <w:sz w:val="18"/>
                <w:szCs w:val="18"/>
              </w:rPr>
              <w:t xml:space="preserve">Volume Ratio</w:t>
            </w:r>
          </w:p>
        </w:tc>
        <w:tc>
          <w:tcPr>
            <w:tcW w:type="dxa" w:w="1960"/>
            <w:tcBorders>
              <w:top w:val="single" w:color="AACCDD" w:sz="4"/>
              <w:left w:val="single" w:color="AACCDD" w:sz="4"/>
              <w:bottom w:val="single" w:color="AACCDD" w:sz="4"/>
              <w:right w:val="single" w:color="AACCDD" w:sz="4"/>
            </w:tcBorders>
            <w:shd w:fill="FFFFFF" w:val="clear"/>
            <w:tcMar>
              <w:top w:type="dxa" w:w="80"/>
              <w:left w:type="dxa" w:w="120"/>
              <w:bottom w:type="dxa" w:w="80"/>
              <w:right w:type="dxa" w:w="120"/>
            </w:tcMar>
            <w:vAlign w:val="center"/>
          </w:tcPr>
          <w:p>
            <w:pPr>
              <w:spacing w:after="60" w:before="60"/>
              <w:jc w:val="left"/>
            </w:pPr>
            <w:r>
              <w:rPr>
                <w:b w:val="false"/>
                <w:bCs w:val="false"/>
                <w:color w:val="333333"/>
                <w:sz w:val="18"/>
                <w:szCs w:val="18"/>
              </w:rPr>
              <w:t xml:space="preserve">Technical</w:t>
            </w:r>
          </w:p>
        </w:tc>
        <w:tc>
          <w:tcPr>
            <w:tcW w:type="dxa" w:w="4920"/>
            <w:tcBorders>
              <w:top w:val="single" w:color="AACCDD" w:sz="4"/>
              <w:left w:val="single" w:color="AACCDD" w:sz="4"/>
              <w:bottom w:val="single" w:color="AACCDD" w:sz="4"/>
              <w:right w:val="single" w:color="AACCDD" w:sz="4"/>
            </w:tcBorders>
            <w:shd w:fill="FFFFFF" w:val="clear"/>
            <w:tcMar>
              <w:top w:type="dxa" w:w="80"/>
              <w:left w:type="dxa" w:w="120"/>
              <w:bottom w:type="dxa" w:w="80"/>
              <w:right w:type="dxa" w:w="120"/>
            </w:tcMar>
            <w:vAlign w:val="center"/>
          </w:tcPr>
          <w:p>
            <w:pPr>
              <w:spacing w:after="60" w:before="60"/>
              <w:jc w:val="left"/>
            </w:pPr>
            <w:r>
              <w:rPr>
                <w:b w:val="false"/>
                <w:bCs w:val="false"/>
                <w:color w:val="333333"/>
                <w:sz w:val="18"/>
                <w:szCs w:val="18"/>
              </w:rPr>
              <w:t xml:space="preserve">Recent volume vs 20-day average</w:t>
            </w:r>
          </w:p>
        </w:tc>
      </w:tr>
      <w:tr>
        <w:tc>
          <w:tcPr>
            <w:tcW w:type="dxa" w:w="3200"/>
            <w:tcBorders>
              <w:top w:val="single" w:color="AACCDD" w:sz="4"/>
              <w:left w:val="single" w:color="AACCDD" w:sz="4"/>
              <w:bottom w:val="single" w:color="AACCDD" w:sz="4"/>
              <w:right w:val="single" w:color="AACCDD" w:sz="4"/>
            </w:tcBorders>
            <w:shd w:fill="EEF5F9" w:val="clear"/>
            <w:tcMar>
              <w:top w:type="dxa" w:w="80"/>
              <w:left w:type="dxa" w:w="120"/>
              <w:bottom w:type="dxa" w:w="80"/>
              <w:right w:type="dxa" w:w="120"/>
            </w:tcMar>
            <w:vAlign w:val="center"/>
          </w:tcPr>
          <w:p>
            <w:pPr>
              <w:spacing w:after="60" w:before="60"/>
              <w:jc w:val="left"/>
            </w:pPr>
            <w:r>
              <w:rPr>
                <w:b w:val="false"/>
                <w:bCs w:val="false"/>
                <w:color w:val="333333"/>
                <w:sz w:val="18"/>
                <w:szCs w:val="18"/>
              </w:rPr>
              <w:t xml:space="preserve">ATR Normalised</w:t>
            </w:r>
          </w:p>
        </w:tc>
        <w:tc>
          <w:tcPr>
            <w:tcW w:type="dxa" w:w="1960"/>
            <w:tcBorders>
              <w:top w:val="single" w:color="AACCDD" w:sz="4"/>
              <w:left w:val="single" w:color="AACCDD" w:sz="4"/>
              <w:bottom w:val="single" w:color="AACCDD" w:sz="4"/>
              <w:right w:val="single" w:color="AACCDD" w:sz="4"/>
            </w:tcBorders>
            <w:shd w:fill="EEF5F9" w:val="clear"/>
            <w:tcMar>
              <w:top w:type="dxa" w:w="80"/>
              <w:left w:type="dxa" w:w="120"/>
              <w:bottom w:type="dxa" w:w="80"/>
              <w:right w:type="dxa" w:w="120"/>
            </w:tcMar>
            <w:vAlign w:val="center"/>
          </w:tcPr>
          <w:p>
            <w:pPr>
              <w:spacing w:after="60" w:before="60"/>
              <w:jc w:val="left"/>
            </w:pPr>
            <w:r>
              <w:rPr>
                <w:b w:val="false"/>
                <w:bCs w:val="false"/>
                <w:color w:val="333333"/>
                <w:sz w:val="18"/>
                <w:szCs w:val="18"/>
              </w:rPr>
              <w:t xml:space="preserve">Volatility</w:t>
            </w:r>
          </w:p>
        </w:tc>
        <w:tc>
          <w:tcPr>
            <w:tcW w:type="dxa" w:w="4920"/>
            <w:tcBorders>
              <w:top w:val="single" w:color="AACCDD" w:sz="4"/>
              <w:left w:val="single" w:color="AACCDD" w:sz="4"/>
              <w:bottom w:val="single" w:color="AACCDD" w:sz="4"/>
              <w:right w:val="single" w:color="AACCDD" w:sz="4"/>
            </w:tcBorders>
            <w:shd w:fill="EEF5F9" w:val="clear"/>
            <w:tcMar>
              <w:top w:type="dxa" w:w="80"/>
              <w:left w:type="dxa" w:w="120"/>
              <w:bottom w:type="dxa" w:w="80"/>
              <w:right w:type="dxa" w:w="120"/>
            </w:tcMar>
            <w:vAlign w:val="center"/>
          </w:tcPr>
          <w:p>
            <w:pPr>
              <w:spacing w:after="60" w:before="60"/>
              <w:jc w:val="left"/>
            </w:pPr>
            <w:r>
              <w:rPr>
                <w:b w:val="false"/>
                <w:bCs w:val="false"/>
                <w:color w:val="333333"/>
                <w:sz w:val="18"/>
                <w:szCs w:val="18"/>
              </w:rPr>
              <w:t xml:space="preserve">Risk-adjusted return potential</w:t>
            </w:r>
          </w:p>
        </w:tc>
      </w:tr>
      <w:tr>
        <w:tc>
          <w:tcPr>
            <w:tcW w:type="dxa" w:w="3200"/>
            <w:tcBorders>
              <w:top w:val="single" w:color="AACCDD" w:sz="4"/>
              <w:left w:val="single" w:color="AACCDD" w:sz="4"/>
              <w:bottom w:val="single" w:color="AACCDD" w:sz="4"/>
              <w:right w:val="single" w:color="AACCDD" w:sz="4"/>
            </w:tcBorders>
            <w:shd w:fill="FFFFFF" w:val="clear"/>
            <w:tcMar>
              <w:top w:type="dxa" w:w="80"/>
              <w:left w:type="dxa" w:w="120"/>
              <w:bottom w:type="dxa" w:w="80"/>
              <w:right w:type="dxa" w:w="120"/>
            </w:tcMar>
            <w:vAlign w:val="center"/>
          </w:tcPr>
          <w:p>
            <w:pPr>
              <w:spacing w:after="60" w:before="60"/>
              <w:jc w:val="left"/>
            </w:pPr>
            <w:r>
              <w:rPr>
                <w:b w:val="false"/>
                <w:bCs w:val="false"/>
                <w:color w:val="333333"/>
                <w:sz w:val="18"/>
                <w:szCs w:val="18"/>
              </w:rPr>
              <w:t xml:space="preserve">Earnings Quality</w:t>
            </w:r>
          </w:p>
        </w:tc>
        <w:tc>
          <w:tcPr>
            <w:tcW w:type="dxa" w:w="1960"/>
            <w:tcBorders>
              <w:top w:val="single" w:color="AACCDD" w:sz="4"/>
              <w:left w:val="single" w:color="AACCDD" w:sz="4"/>
              <w:bottom w:val="single" w:color="AACCDD" w:sz="4"/>
              <w:right w:val="single" w:color="AACCDD" w:sz="4"/>
            </w:tcBorders>
            <w:shd w:fill="FFFFFF" w:val="clear"/>
            <w:tcMar>
              <w:top w:type="dxa" w:w="80"/>
              <w:left w:type="dxa" w:w="120"/>
              <w:bottom w:type="dxa" w:w="80"/>
              <w:right w:type="dxa" w:w="120"/>
            </w:tcMar>
            <w:vAlign w:val="center"/>
          </w:tcPr>
          <w:p>
            <w:pPr>
              <w:spacing w:after="60" w:before="60"/>
              <w:jc w:val="left"/>
            </w:pPr>
            <w:r>
              <w:rPr>
                <w:b w:val="false"/>
                <w:bCs w:val="false"/>
                <w:color w:val="333333"/>
                <w:sz w:val="18"/>
                <w:szCs w:val="18"/>
              </w:rPr>
              <w:t xml:space="preserve">Fundamental</w:t>
            </w:r>
          </w:p>
        </w:tc>
        <w:tc>
          <w:tcPr>
            <w:tcW w:type="dxa" w:w="4920"/>
            <w:tcBorders>
              <w:top w:val="single" w:color="AACCDD" w:sz="4"/>
              <w:left w:val="single" w:color="AACCDD" w:sz="4"/>
              <w:bottom w:val="single" w:color="AACCDD" w:sz="4"/>
              <w:right w:val="single" w:color="AACCDD" w:sz="4"/>
            </w:tcBorders>
            <w:shd w:fill="FFFFFF" w:val="clear"/>
            <w:tcMar>
              <w:top w:type="dxa" w:w="80"/>
              <w:left w:type="dxa" w:w="120"/>
              <w:bottom w:type="dxa" w:w="80"/>
              <w:right w:type="dxa" w:w="120"/>
            </w:tcMar>
            <w:vAlign w:val="center"/>
          </w:tcPr>
          <w:p>
            <w:pPr>
              <w:spacing w:after="60" w:before="60"/>
              <w:jc w:val="left"/>
            </w:pPr>
            <w:r>
              <w:rPr>
                <w:b w:val="false"/>
                <w:bCs w:val="false"/>
                <w:color w:val="333333"/>
                <w:sz w:val="18"/>
                <w:szCs w:val="18"/>
              </w:rPr>
              <w:t xml:space="preserve">EPS beat rate and surprise magnitude</w:t>
            </w:r>
          </w:p>
        </w:tc>
      </w:tr>
      <w:tr>
        <w:tc>
          <w:tcPr>
            <w:tcW w:type="dxa" w:w="3200"/>
            <w:tcBorders>
              <w:top w:val="single" w:color="AACCDD" w:sz="4"/>
              <w:left w:val="single" w:color="AACCDD" w:sz="4"/>
              <w:bottom w:val="single" w:color="AACCDD" w:sz="4"/>
              <w:right w:val="single" w:color="AACCDD" w:sz="4"/>
            </w:tcBorders>
            <w:shd w:fill="EEF5F9" w:val="clear"/>
            <w:tcMar>
              <w:top w:type="dxa" w:w="80"/>
              <w:left w:type="dxa" w:w="120"/>
              <w:bottom w:type="dxa" w:w="80"/>
              <w:right w:type="dxa" w:w="120"/>
            </w:tcMar>
            <w:vAlign w:val="center"/>
          </w:tcPr>
          <w:p>
            <w:pPr>
              <w:spacing w:after="60" w:before="60"/>
              <w:jc w:val="left"/>
            </w:pPr>
            <w:r>
              <w:rPr>
                <w:b w:val="false"/>
                <w:bCs w:val="false"/>
                <w:color w:val="333333"/>
                <w:sz w:val="18"/>
                <w:szCs w:val="18"/>
              </w:rPr>
              <w:t xml:space="preserve">Sector Momentum</w:t>
            </w:r>
          </w:p>
        </w:tc>
        <w:tc>
          <w:tcPr>
            <w:tcW w:type="dxa" w:w="1960"/>
            <w:tcBorders>
              <w:top w:val="single" w:color="AACCDD" w:sz="4"/>
              <w:left w:val="single" w:color="AACCDD" w:sz="4"/>
              <w:bottom w:val="single" w:color="AACCDD" w:sz="4"/>
              <w:right w:val="single" w:color="AACCDD" w:sz="4"/>
            </w:tcBorders>
            <w:shd w:fill="EEF5F9" w:val="clear"/>
            <w:tcMar>
              <w:top w:type="dxa" w:w="80"/>
              <w:left w:type="dxa" w:w="120"/>
              <w:bottom w:type="dxa" w:w="80"/>
              <w:right w:type="dxa" w:w="120"/>
            </w:tcMar>
            <w:vAlign w:val="center"/>
          </w:tcPr>
          <w:p>
            <w:pPr>
              <w:spacing w:after="60" w:before="60"/>
              <w:jc w:val="left"/>
            </w:pPr>
            <w:r>
              <w:rPr>
                <w:b w:val="false"/>
                <w:bCs w:val="false"/>
                <w:color w:val="333333"/>
                <w:sz w:val="18"/>
                <w:szCs w:val="18"/>
              </w:rPr>
              <w:t xml:space="preserve">Sector</w:t>
            </w:r>
          </w:p>
        </w:tc>
        <w:tc>
          <w:tcPr>
            <w:tcW w:type="dxa" w:w="4920"/>
            <w:tcBorders>
              <w:top w:val="single" w:color="AACCDD" w:sz="4"/>
              <w:left w:val="single" w:color="AACCDD" w:sz="4"/>
              <w:bottom w:val="single" w:color="AACCDD" w:sz="4"/>
              <w:right w:val="single" w:color="AACCDD" w:sz="4"/>
            </w:tcBorders>
            <w:shd w:fill="EEF5F9" w:val="clear"/>
            <w:tcMar>
              <w:top w:type="dxa" w:w="80"/>
              <w:left w:type="dxa" w:w="120"/>
              <w:bottom w:type="dxa" w:w="80"/>
              <w:right w:type="dxa" w:w="120"/>
            </w:tcMar>
            <w:vAlign w:val="center"/>
          </w:tcPr>
          <w:p>
            <w:pPr>
              <w:spacing w:after="60" w:before="60"/>
              <w:jc w:val="left"/>
            </w:pPr>
            <w:r>
              <w:rPr>
                <w:b w:val="false"/>
                <w:bCs w:val="false"/>
                <w:color w:val="333333"/>
                <w:sz w:val="18"/>
                <w:szCs w:val="18"/>
              </w:rPr>
              <w:t xml:space="preserve">Sector-relative momentum</w:t>
            </w:r>
          </w:p>
        </w:tc>
      </w:tr>
      <w:tr>
        <w:tc>
          <w:tcPr>
            <w:tcW w:type="dxa" w:w="3200"/>
            <w:tcBorders>
              <w:top w:val="single" w:color="AACCDD" w:sz="4"/>
              <w:left w:val="single" w:color="AACCDD" w:sz="4"/>
              <w:bottom w:val="single" w:color="AACCDD" w:sz="4"/>
              <w:right w:val="single" w:color="AACCDD" w:sz="4"/>
            </w:tcBorders>
            <w:shd w:fill="FFFFFF" w:val="clear"/>
            <w:tcMar>
              <w:top w:type="dxa" w:w="80"/>
              <w:left w:type="dxa" w:w="120"/>
              <w:bottom w:type="dxa" w:w="80"/>
              <w:right w:type="dxa" w:w="120"/>
            </w:tcMar>
            <w:vAlign w:val="center"/>
          </w:tcPr>
          <w:p>
            <w:pPr>
              <w:spacing w:after="60" w:before="60"/>
              <w:jc w:val="left"/>
            </w:pPr>
            <w:r>
              <w:rPr>
                <w:b w:val="false"/>
                <w:bCs w:val="false"/>
                <w:color w:val="333333"/>
                <w:sz w:val="18"/>
                <w:szCs w:val="18"/>
              </w:rPr>
              <w:t xml:space="preserve">ML Rank Score</w:t>
            </w:r>
          </w:p>
        </w:tc>
        <w:tc>
          <w:tcPr>
            <w:tcW w:type="dxa" w:w="1960"/>
            <w:tcBorders>
              <w:top w:val="single" w:color="AACCDD" w:sz="4"/>
              <w:left w:val="single" w:color="AACCDD" w:sz="4"/>
              <w:bottom w:val="single" w:color="AACCDD" w:sz="4"/>
              <w:right w:val="single" w:color="AACCDD" w:sz="4"/>
            </w:tcBorders>
            <w:shd w:fill="FFFFFF" w:val="clear"/>
            <w:tcMar>
              <w:top w:type="dxa" w:w="80"/>
              <w:left w:type="dxa" w:w="120"/>
              <w:bottom w:type="dxa" w:w="80"/>
              <w:right w:type="dxa" w:w="120"/>
            </w:tcMar>
            <w:vAlign w:val="center"/>
          </w:tcPr>
          <w:p>
            <w:pPr>
              <w:spacing w:after="60" w:before="60"/>
              <w:jc w:val="left"/>
            </w:pPr>
            <w:r>
              <w:rPr>
                <w:b w:val="false"/>
                <w:bCs w:val="false"/>
                <w:color w:val="333333"/>
                <w:sz w:val="18"/>
                <w:szCs w:val="18"/>
              </w:rPr>
              <w:t xml:space="preserve">AI/ML</w:t>
            </w:r>
          </w:p>
        </w:tc>
        <w:tc>
          <w:tcPr>
            <w:tcW w:type="dxa" w:w="4920"/>
            <w:tcBorders>
              <w:top w:val="single" w:color="AACCDD" w:sz="4"/>
              <w:left w:val="single" w:color="AACCDD" w:sz="4"/>
              <w:bottom w:val="single" w:color="AACCDD" w:sz="4"/>
              <w:right w:val="single" w:color="AACCDD" w:sz="4"/>
            </w:tcBorders>
            <w:shd w:fill="FFFFFF" w:val="clear"/>
            <w:tcMar>
              <w:top w:type="dxa" w:w="80"/>
              <w:left w:type="dxa" w:w="120"/>
              <w:bottom w:type="dxa" w:w="80"/>
              <w:right w:type="dxa" w:w="120"/>
            </w:tcMar>
            <w:vAlign w:val="center"/>
          </w:tcPr>
          <w:p>
            <w:pPr>
              <w:spacing w:after="60" w:before="60"/>
              <w:jc w:val="left"/>
            </w:pPr>
            <w:r>
              <w:rPr>
                <w:b w:val="false"/>
                <w:bCs w:val="false"/>
                <w:color w:val="333333"/>
                <w:sz w:val="18"/>
                <w:szCs w:val="18"/>
              </w:rPr>
              <w:t xml:space="preserve">Gradient Boosted Trees probability score</w:t>
            </w:r>
          </w:p>
        </w:tc>
      </w:tr>
    </w:tbl>
    <w:p>
      <w:pPr>
        <w:spacing w:after="120" w:before="0"/>
      </w:pPr>
    </w:p>
    <w:p>
      <w:pPr>
        <w:pStyle w:val="Heading2"/>
        <w:pBdr>
          <w:bottom w:val="single" w:color="2C4A8C" w:sz="6"/>
        </w:pBdr>
        <w:spacing w:after="100" w:before="200"/>
      </w:pPr>
      <w:r>
        <w:rPr>
          <w:b/>
          <w:bCs/>
          <w:color w:val="1a2744"/>
          <w:sz w:val="24"/>
          <w:szCs w:val="24"/>
        </w:rPr>
        <w:t xml:space="preserve">3.2  Walk-Forward Results — All 5 Windows</w:t>
      </w:r>
    </w:p>
    <w:p>
      <w:pPr>
        <w:spacing w:after="60" w:before="0"/>
      </w:pPr>
    </w:p>
    <w:tbl>
      <w:tblPr>
        <w:tblW w:type="dxa" w:w="9080"/>
        <w:tblBorders>
          <w:top w:val="single" w:color="AACCDD" w:sz="4"/>
          <w:left w:val="single" w:color="AACCDD" w:sz="4"/>
          <w:bottom w:val="single" w:color="AACCDD" w:sz="4"/>
          <w:right w:val="single" w:color="AACCDD" w:sz="4"/>
          <w:insideH w:val="single" w:color="auto" w:sz="4"/>
          <w:insideV w:val="single" w:color="auto" w:sz="4"/>
        </w:tblBorders>
      </w:tblPr>
      <w:tblGrid>
        <w:gridCol w:w="600"/>
        <w:gridCol w:w="1200"/>
        <w:gridCol w:w="1000"/>
        <w:gridCol w:w="2400"/>
        <w:gridCol w:w="1000"/>
        <w:gridCol w:w="1100"/>
        <w:gridCol w:w="1000"/>
        <w:gridCol w:w="780"/>
      </w:tblGrid>
      <w:tr>
        <w:trPr>
          <w:tblHeader/>
        </w:trPr>
        <w:tc>
          <w:tcPr>
            <w:tcW w:type="dxa" w:w="600"/>
            <w:tcBorders>
              <w:top w:val="single" w:color="AACCDD" w:sz="4"/>
              <w:left w:val="single" w:color="AACCDD" w:sz="4"/>
              <w:bottom w:val="single" w:color="AACCDD" w:sz="4"/>
              <w:right w:val="single" w:color="AACCDD" w:sz="4"/>
            </w:tcBorders>
            <w:shd w:fill="D5E8F0" w:val="clear"/>
            <w:tcMar>
              <w:top w:type="dxa" w:w="80"/>
              <w:left w:type="dxa" w:w="120"/>
              <w:bottom w:type="dxa" w:w="80"/>
              <w:right w:type="dxa" w:w="120"/>
            </w:tcMar>
            <w:vAlign w:val="center"/>
          </w:tcPr>
          <w:p>
            <w:pPr>
              <w:spacing w:after="60" w:before="60"/>
              <w:jc w:val="left"/>
            </w:pPr>
            <w:r>
              <w:rPr>
                <w:b/>
                <w:bCs/>
                <w:color w:val="1a2744"/>
                <w:sz w:val="18"/>
                <w:szCs w:val="18"/>
              </w:rPr>
              <w:t xml:space="preserve">Window</w:t>
            </w:r>
          </w:p>
        </w:tc>
        <w:tc>
          <w:tcPr>
            <w:tcW w:type="dxa" w:w="1200"/>
            <w:tcBorders>
              <w:top w:val="single" w:color="AACCDD" w:sz="4"/>
              <w:left w:val="single" w:color="AACCDD" w:sz="4"/>
              <w:bottom w:val="single" w:color="AACCDD" w:sz="4"/>
              <w:right w:val="single" w:color="AACCDD" w:sz="4"/>
            </w:tcBorders>
            <w:shd w:fill="D5E8F0" w:val="clear"/>
            <w:tcMar>
              <w:top w:type="dxa" w:w="80"/>
              <w:left w:type="dxa" w:w="120"/>
              <w:bottom w:type="dxa" w:w="80"/>
              <w:right w:type="dxa" w:w="120"/>
            </w:tcMar>
            <w:vAlign w:val="center"/>
          </w:tcPr>
          <w:p>
            <w:pPr>
              <w:spacing w:after="60" w:before="60"/>
              <w:jc w:val="left"/>
            </w:pPr>
            <w:r>
              <w:rPr>
                <w:b/>
                <w:bCs/>
                <w:color w:val="1a2744"/>
                <w:sz w:val="18"/>
                <w:szCs w:val="18"/>
              </w:rPr>
              <w:t xml:space="preserve">Training Period</w:t>
            </w:r>
          </w:p>
        </w:tc>
        <w:tc>
          <w:tcPr>
            <w:tcW w:type="dxa" w:w="1000"/>
            <w:tcBorders>
              <w:top w:val="single" w:color="AACCDD" w:sz="4"/>
              <w:left w:val="single" w:color="AACCDD" w:sz="4"/>
              <w:bottom w:val="single" w:color="AACCDD" w:sz="4"/>
              <w:right w:val="single" w:color="AACCDD" w:sz="4"/>
            </w:tcBorders>
            <w:shd w:fill="D5E8F0" w:val="clear"/>
            <w:tcMar>
              <w:top w:type="dxa" w:w="80"/>
              <w:left w:type="dxa" w:w="120"/>
              <w:bottom w:type="dxa" w:w="80"/>
              <w:right w:type="dxa" w:w="120"/>
            </w:tcMar>
            <w:vAlign w:val="center"/>
          </w:tcPr>
          <w:p>
            <w:pPr>
              <w:spacing w:after="60" w:before="60"/>
              <w:jc w:val="left"/>
            </w:pPr>
            <w:r>
              <w:rPr>
                <w:b/>
                <w:bCs/>
                <w:color w:val="1a2744"/>
                <w:sz w:val="18"/>
                <w:szCs w:val="18"/>
              </w:rPr>
              <w:t xml:space="preserve">Test Period</w:t>
            </w:r>
          </w:p>
        </w:tc>
        <w:tc>
          <w:tcPr>
            <w:tcW w:type="dxa" w:w="2400"/>
            <w:tcBorders>
              <w:top w:val="single" w:color="AACCDD" w:sz="4"/>
              <w:left w:val="single" w:color="AACCDD" w:sz="4"/>
              <w:bottom w:val="single" w:color="AACCDD" w:sz="4"/>
              <w:right w:val="single" w:color="AACCDD" w:sz="4"/>
            </w:tcBorders>
            <w:shd w:fill="D5E8F0" w:val="clear"/>
            <w:tcMar>
              <w:top w:type="dxa" w:w="80"/>
              <w:left w:type="dxa" w:w="120"/>
              <w:bottom w:type="dxa" w:w="80"/>
              <w:right w:type="dxa" w:w="120"/>
            </w:tcMar>
            <w:vAlign w:val="center"/>
          </w:tcPr>
          <w:p>
            <w:pPr>
              <w:spacing w:after="60" w:before="60"/>
              <w:jc w:val="left"/>
            </w:pPr>
            <w:r>
              <w:rPr>
                <w:b/>
                <w:bCs/>
                <w:color w:val="1a2744"/>
                <w:sz w:val="18"/>
                <w:szCs w:val="18"/>
              </w:rPr>
              <w:t xml:space="preserve">Market Environment</w:t>
            </w:r>
          </w:p>
        </w:tc>
        <w:tc>
          <w:tcPr>
            <w:tcW w:type="dxa" w:w="1000"/>
            <w:tcBorders>
              <w:top w:val="single" w:color="AACCDD" w:sz="4"/>
              <w:left w:val="single" w:color="AACCDD" w:sz="4"/>
              <w:bottom w:val="single" w:color="AACCDD" w:sz="4"/>
              <w:right w:val="single" w:color="AACCDD" w:sz="4"/>
            </w:tcBorders>
            <w:shd w:fill="D5E8F0" w:val="clear"/>
            <w:tcMar>
              <w:top w:type="dxa" w:w="80"/>
              <w:left w:type="dxa" w:w="120"/>
              <w:bottom w:type="dxa" w:w="80"/>
              <w:right w:type="dxa" w:w="120"/>
            </w:tcMar>
            <w:vAlign w:val="center"/>
          </w:tcPr>
          <w:p>
            <w:pPr>
              <w:spacing w:after="60" w:before="60"/>
              <w:jc w:val="left"/>
            </w:pPr>
            <w:r>
              <w:rPr>
                <w:b/>
                <w:bCs/>
                <w:color w:val="1a2744"/>
                <w:sz w:val="18"/>
                <w:szCs w:val="18"/>
              </w:rPr>
              <w:t xml:space="preserve">IS Sharpe</w:t>
            </w:r>
          </w:p>
        </w:tc>
        <w:tc>
          <w:tcPr>
            <w:tcW w:type="dxa" w:w="1100"/>
            <w:tcBorders>
              <w:top w:val="single" w:color="AACCDD" w:sz="4"/>
              <w:left w:val="single" w:color="AACCDD" w:sz="4"/>
              <w:bottom w:val="single" w:color="AACCDD" w:sz="4"/>
              <w:right w:val="single" w:color="AACCDD" w:sz="4"/>
            </w:tcBorders>
            <w:shd w:fill="D5E8F0" w:val="clear"/>
            <w:tcMar>
              <w:top w:type="dxa" w:w="80"/>
              <w:left w:type="dxa" w:w="120"/>
              <w:bottom w:type="dxa" w:w="80"/>
              <w:right w:type="dxa" w:w="120"/>
            </w:tcMar>
            <w:vAlign w:val="center"/>
          </w:tcPr>
          <w:p>
            <w:pPr>
              <w:spacing w:after="60" w:before="60"/>
              <w:jc w:val="left"/>
            </w:pPr>
            <w:r>
              <w:rPr>
                <w:b/>
                <w:bCs/>
                <w:color w:val="1a2744"/>
                <w:sz w:val="18"/>
                <w:szCs w:val="18"/>
              </w:rPr>
              <w:t xml:space="preserve">OOS Sharpe</w:t>
            </w:r>
          </w:p>
        </w:tc>
        <w:tc>
          <w:tcPr>
            <w:tcW w:type="dxa" w:w="1000"/>
            <w:tcBorders>
              <w:top w:val="single" w:color="AACCDD" w:sz="4"/>
              <w:left w:val="single" w:color="AACCDD" w:sz="4"/>
              <w:bottom w:val="single" w:color="AACCDD" w:sz="4"/>
              <w:right w:val="single" w:color="AACCDD" w:sz="4"/>
            </w:tcBorders>
            <w:shd w:fill="D5E8F0" w:val="clear"/>
            <w:tcMar>
              <w:top w:type="dxa" w:w="80"/>
              <w:left w:type="dxa" w:w="120"/>
              <w:bottom w:type="dxa" w:w="80"/>
              <w:right w:type="dxa" w:w="120"/>
            </w:tcMar>
            <w:vAlign w:val="center"/>
          </w:tcPr>
          <w:p>
            <w:pPr>
              <w:spacing w:after="60" w:before="60"/>
              <w:jc w:val="left"/>
            </w:pPr>
            <w:r>
              <w:rPr>
                <w:b/>
                <w:bCs/>
                <w:color w:val="1a2744"/>
                <w:sz w:val="18"/>
                <w:szCs w:val="18"/>
              </w:rPr>
              <w:t xml:space="preserve">OOS Return</w:t>
            </w:r>
          </w:p>
        </w:tc>
        <w:tc>
          <w:tcPr>
            <w:tcW w:type="dxa" w:w="780"/>
            <w:tcBorders>
              <w:top w:val="single" w:color="AACCDD" w:sz="4"/>
              <w:left w:val="single" w:color="AACCDD" w:sz="4"/>
              <w:bottom w:val="single" w:color="AACCDD" w:sz="4"/>
              <w:right w:val="single" w:color="AACCDD" w:sz="4"/>
            </w:tcBorders>
            <w:shd w:fill="D5E8F0" w:val="clear"/>
            <w:tcMar>
              <w:top w:type="dxa" w:w="80"/>
              <w:left w:type="dxa" w:w="120"/>
              <w:bottom w:type="dxa" w:w="80"/>
              <w:right w:type="dxa" w:w="120"/>
            </w:tcMar>
            <w:vAlign w:val="center"/>
          </w:tcPr>
          <w:p>
            <w:pPr>
              <w:spacing w:after="60" w:before="60"/>
              <w:jc w:val="left"/>
            </w:pPr>
            <w:r>
              <w:rPr>
                <w:b/>
                <w:bCs/>
                <w:color w:val="1a2744"/>
                <w:sz w:val="18"/>
                <w:szCs w:val="18"/>
              </w:rPr>
              <w:t xml:space="preserve">Decay</w:t>
            </w:r>
          </w:p>
        </w:tc>
      </w:tr>
      <w:tr>
        <w:tc>
          <w:tcPr>
            <w:tcW w:type="dxa" w:w="600"/>
            <w:tcBorders>
              <w:top w:val="single" w:color="AACCDD" w:sz="4"/>
              <w:left w:val="single" w:color="AACCDD" w:sz="4"/>
              <w:bottom w:val="single" w:color="AACCDD" w:sz="4"/>
              <w:right w:val="single" w:color="AACCDD" w:sz="4"/>
            </w:tcBorders>
            <w:shd w:fill="FFFFFF" w:val="clear"/>
            <w:tcMar>
              <w:top w:type="dxa" w:w="80"/>
              <w:left w:type="dxa" w:w="120"/>
              <w:bottom w:type="dxa" w:w="80"/>
              <w:right w:type="dxa" w:w="120"/>
            </w:tcMar>
            <w:vAlign w:val="center"/>
          </w:tcPr>
          <w:p>
            <w:pPr>
              <w:spacing w:after="60" w:before="60"/>
              <w:jc w:val="left"/>
            </w:pPr>
            <w:r>
              <w:rPr>
                <w:b w:val="false"/>
                <w:bCs w:val="false"/>
                <w:color w:val="333333"/>
                <w:sz w:val="18"/>
                <w:szCs w:val="18"/>
              </w:rPr>
              <w:t xml:space="preserve">W1</w:t>
            </w:r>
          </w:p>
        </w:tc>
        <w:tc>
          <w:tcPr>
            <w:tcW w:type="dxa" w:w="1200"/>
            <w:tcBorders>
              <w:top w:val="single" w:color="AACCDD" w:sz="4"/>
              <w:left w:val="single" w:color="AACCDD" w:sz="4"/>
              <w:bottom w:val="single" w:color="AACCDD" w:sz="4"/>
              <w:right w:val="single" w:color="AACCDD" w:sz="4"/>
            </w:tcBorders>
            <w:shd w:fill="FFFFFF" w:val="clear"/>
            <w:tcMar>
              <w:top w:type="dxa" w:w="80"/>
              <w:left w:type="dxa" w:w="120"/>
              <w:bottom w:type="dxa" w:w="80"/>
              <w:right w:type="dxa" w:w="120"/>
            </w:tcMar>
            <w:vAlign w:val="center"/>
          </w:tcPr>
          <w:p>
            <w:pPr>
              <w:spacing w:after="60" w:before="60"/>
              <w:jc w:val="left"/>
            </w:pPr>
            <w:r>
              <w:rPr>
                <w:b w:val="false"/>
                <w:bCs w:val="false"/>
                <w:color w:val="333333"/>
                <w:sz w:val="18"/>
                <w:szCs w:val="18"/>
              </w:rPr>
              <w:t xml:space="preserve">2018–2019</w:t>
            </w:r>
          </w:p>
        </w:tc>
        <w:tc>
          <w:tcPr>
            <w:tcW w:type="dxa" w:w="1000"/>
            <w:tcBorders>
              <w:top w:val="single" w:color="AACCDD" w:sz="4"/>
              <w:left w:val="single" w:color="AACCDD" w:sz="4"/>
              <w:bottom w:val="single" w:color="AACCDD" w:sz="4"/>
              <w:right w:val="single" w:color="AACCDD" w:sz="4"/>
            </w:tcBorders>
            <w:shd w:fill="FFFFFF" w:val="clear"/>
            <w:tcMar>
              <w:top w:type="dxa" w:w="80"/>
              <w:left w:type="dxa" w:w="120"/>
              <w:bottom w:type="dxa" w:w="80"/>
              <w:right w:type="dxa" w:w="120"/>
            </w:tcMar>
            <w:vAlign w:val="center"/>
          </w:tcPr>
          <w:p>
            <w:pPr>
              <w:spacing w:after="60" w:before="60"/>
              <w:jc w:val="left"/>
            </w:pPr>
            <w:r>
              <w:rPr>
                <w:b w:val="false"/>
                <w:bCs w:val="false"/>
                <w:color w:val="333333"/>
                <w:sz w:val="18"/>
                <w:szCs w:val="18"/>
              </w:rPr>
              <w:t xml:space="preserve">2020</w:t>
            </w:r>
          </w:p>
        </w:tc>
        <w:tc>
          <w:tcPr>
            <w:tcW w:type="dxa" w:w="2400"/>
            <w:tcBorders>
              <w:top w:val="single" w:color="AACCDD" w:sz="4"/>
              <w:left w:val="single" w:color="AACCDD" w:sz="4"/>
              <w:bottom w:val="single" w:color="AACCDD" w:sz="4"/>
              <w:right w:val="single" w:color="AACCDD" w:sz="4"/>
            </w:tcBorders>
            <w:shd w:fill="FFFFFF" w:val="clear"/>
            <w:tcMar>
              <w:top w:type="dxa" w:w="80"/>
              <w:left w:type="dxa" w:w="120"/>
              <w:bottom w:type="dxa" w:w="80"/>
              <w:right w:type="dxa" w:w="120"/>
            </w:tcMar>
            <w:vAlign w:val="center"/>
          </w:tcPr>
          <w:p>
            <w:pPr>
              <w:spacing w:after="60" w:before="60"/>
              <w:jc w:val="left"/>
            </w:pPr>
            <w:r>
              <w:rPr>
                <w:b w:val="false"/>
                <w:bCs w:val="false"/>
                <w:color w:val="333333"/>
                <w:sz w:val="18"/>
                <w:szCs w:val="18"/>
              </w:rPr>
              <w:t xml:space="preserve">COVID Crash + Recovery</w:t>
            </w:r>
          </w:p>
        </w:tc>
        <w:tc>
          <w:tcPr>
            <w:tcW w:type="dxa" w:w="1000"/>
            <w:tcBorders>
              <w:top w:val="single" w:color="AACCDD" w:sz="4"/>
              <w:left w:val="single" w:color="AACCDD" w:sz="4"/>
              <w:bottom w:val="single" w:color="AACCDD" w:sz="4"/>
              <w:right w:val="single" w:color="AACCDD" w:sz="4"/>
            </w:tcBorders>
            <w:shd w:fill="FFFFFF" w:val="clear"/>
            <w:tcMar>
              <w:top w:type="dxa" w:w="80"/>
              <w:left w:type="dxa" w:w="120"/>
              <w:bottom w:type="dxa" w:w="80"/>
              <w:right w:type="dxa" w:w="120"/>
            </w:tcMar>
            <w:vAlign w:val="center"/>
          </w:tcPr>
          <w:p>
            <w:pPr>
              <w:spacing w:after="60" w:before="60"/>
              <w:jc w:val="left"/>
            </w:pPr>
            <w:r>
              <w:rPr>
                <w:b w:val="false"/>
                <w:bCs w:val="false"/>
                <w:color w:val="333333"/>
                <w:sz w:val="18"/>
                <w:szCs w:val="18"/>
              </w:rPr>
              <w:t xml:space="preserve">1.92</w:t>
            </w:r>
          </w:p>
        </w:tc>
        <w:tc>
          <w:tcPr>
            <w:tcW w:type="dxa" w:w="1100"/>
            <w:tcBorders>
              <w:top w:val="single" w:color="AACCDD" w:sz="4"/>
              <w:left w:val="single" w:color="AACCDD" w:sz="4"/>
              <w:bottom w:val="single" w:color="AACCDD" w:sz="4"/>
              <w:right w:val="single" w:color="AACCDD" w:sz="4"/>
            </w:tcBorders>
            <w:shd w:fill="FFFFFF" w:val="clear"/>
            <w:tcMar>
              <w:top w:type="dxa" w:w="80"/>
              <w:left w:type="dxa" w:w="120"/>
              <w:bottom w:type="dxa" w:w="80"/>
              <w:right w:type="dxa" w:w="120"/>
            </w:tcMar>
            <w:vAlign w:val="center"/>
          </w:tcPr>
          <w:p>
            <w:pPr>
              <w:spacing w:after="60" w:before="60"/>
              <w:jc w:val="left"/>
            </w:pPr>
            <w:r>
              <w:rPr>
                <w:b w:val="false"/>
                <w:bCs w:val="false"/>
                <w:color w:val="333333"/>
                <w:sz w:val="18"/>
                <w:szCs w:val="18"/>
              </w:rPr>
              <w:t xml:space="preserve">1.98</w:t>
            </w:r>
          </w:p>
        </w:tc>
        <w:tc>
          <w:tcPr>
            <w:tcW w:type="dxa" w:w="1000"/>
            <w:tcBorders>
              <w:top w:val="single" w:color="AACCDD" w:sz="4"/>
              <w:left w:val="single" w:color="AACCDD" w:sz="4"/>
              <w:bottom w:val="single" w:color="AACCDD" w:sz="4"/>
              <w:right w:val="single" w:color="AACCDD" w:sz="4"/>
            </w:tcBorders>
            <w:shd w:fill="FFFFFF" w:val="clear"/>
            <w:tcMar>
              <w:top w:type="dxa" w:w="80"/>
              <w:left w:type="dxa" w:w="120"/>
              <w:bottom w:type="dxa" w:w="80"/>
              <w:right w:type="dxa" w:w="120"/>
            </w:tcMar>
            <w:vAlign w:val="center"/>
          </w:tcPr>
          <w:p>
            <w:pPr>
              <w:spacing w:after="60" w:before="60"/>
              <w:jc w:val="left"/>
            </w:pPr>
            <w:r>
              <w:rPr>
                <w:b w:val="false"/>
                <w:bCs w:val="false"/>
                <w:color w:val="333333"/>
                <w:sz w:val="18"/>
                <w:szCs w:val="18"/>
              </w:rPr>
              <w:t xml:space="preserve">~25%</w:t>
            </w:r>
          </w:p>
        </w:tc>
        <w:tc>
          <w:tcPr>
            <w:tcW w:type="dxa" w:w="780"/>
            <w:tcBorders>
              <w:top w:val="single" w:color="AACCDD" w:sz="4"/>
              <w:left w:val="single" w:color="AACCDD" w:sz="4"/>
              <w:bottom w:val="single" w:color="AACCDD" w:sz="4"/>
              <w:right w:val="single" w:color="AACCDD" w:sz="4"/>
            </w:tcBorders>
            <w:shd w:fill="FFFFFF" w:val="clear"/>
            <w:tcMar>
              <w:top w:type="dxa" w:w="80"/>
              <w:left w:type="dxa" w:w="120"/>
              <w:bottom w:type="dxa" w:w="80"/>
              <w:right w:type="dxa" w:w="120"/>
            </w:tcMar>
            <w:vAlign w:val="center"/>
          </w:tcPr>
          <w:p>
            <w:pPr>
              <w:spacing w:after="60" w:before="60"/>
              <w:jc w:val="left"/>
            </w:pPr>
            <w:r>
              <w:rPr>
                <w:b w:val="false"/>
                <w:bCs w:val="false"/>
                <w:color w:val="333333"/>
                <w:sz w:val="18"/>
                <w:szCs w:val="18"/>
              </w:rPr>
              <w:t xml:space="preserve">-0.03</w:t>
            </w:r>
          </w:p>
        </w:tc>
      </w:tr>
      <w:tr>
        <w:tc>
          <w:tcPr>
            <w:tcW w:type="dxa" w:w="600"/>
            <w:tcBorders>
              <w:top w:val="single" w:color="AACCDD" w:sz="4"/>
              <w:left w:val="single" w:color="AACCDD" w:sz="4"/>
              <w:bottom w:val="single" w:color="AACCDD" w:sz="4"/>
              <w:right w:val="single" w:color="AACCDD" w:sz="4"/>
            </w:tcBorders>
            <w:shd w:fill="EEF5F9" w:val="clear"/>
            <w:tcMar>
              <w:top w:type="dxa" w:w="80"/>
              <w:left w:type="dxa" w:w="120"/>
              <w:bottom w:type="dxa" w:w="80"/>
              <w:right w:type="dxa" w:w="120"/>
            </w:tcMar>
            <w:vAlign w:val="center"/>
          </w:tcPr>
          <w:p>
            <w:pPr>
              <w:spacing w:after="60" w:before="60"/>
              <w:jc w:val="left"/>
            </w:pPr>
            <w:r>
              <w:rPr>
                <w:b w:val="false"/>
                <w:bCs w:val="false"/>
                <w:color w:val="333333"/>
                <w:sz w:val="18"/>
                <w:szCs w:val="18"/>
              </w:rPr>
              <w:t xml:space="preserve">W2</w:t>
            </w:r>
          </w:p>
        </w:tc>
        <w:tc>
          <w:tcPr>
            <w:tcW w:type="dxa" w:w="1200"/>
            <w:tcBorders>
              <w:top w:val="single" w:color="AACCDD" w:sz="4"/>
              <w:left w:val="single" w:color="AACCDD" w:sz="4"/>
              <w:bottom w:val="single" w:color="AACCDD" w:sz="4"/>
              <w:right w:val="single" w:color="AACCDD" w:sz="4"/>
            </w:tcBorders>
            <w:shd w:fill="EEF5F9" w:val="clear"/>
            <w:tcMar>
              <w:top w:type="dxa" w:w="80"/>
              <w:left w:type="dxa" w:w="120"/>
              <w:bottom w:type="dxa" w:w="80"/>
              <w:right w:type="dxa" w:w="120"/>
            </w:tcMar>
            <w:vAlign w:val="center"/>
          </w:tcPr>
          <w:p>
            <w:pPr>
              <w:spacing w:after="60" w:before="60"/>
              <w:jc w:val="left"/>
            </w:pPr>
            <w:r>
              <w:rPr>
                <w:b w:val="false"/>
                <w:bCs w:val="false"/>
                <w:color w:val="333333"/>
                <w:sz w:val="18"/>
                <w:szCs w:val="18"/>
              </w:rPr>
              <w:t xml:space="preserve">2018–2020</w:t>
            </w:r>
          </w:p>
        </w:tc>
        <w:tc>
          <w:tcPr>
            <w:tcW w:type="dxa" w:w="1000"/>
            <w:tcBorders>
              <w:top w:val="single" w:color="AACCDD" w:sz="4"/>
              <w:left w:val="single" w:color="AACCDD" w:sz="4"/>
              <w:bottom w:val="single" w:color="AACCDD" w:sz="4"/>
              <w:right w:val="single" w:color="AACCDD" w:sz="4"/>
            </w:tcBorders>
            <w:shd w:fill="EEF5F9" w:val="clear"/>
            <w:tcMar>
              <w:top w:type="dxa" w:w="80"/>
              <w:left w:type="dxa" w:w="120"/>
              <w:bottom w:type="dxa" w:w="80"/>
              <w:right w:type="dxa" w:w="120"/>
            </w:tcMar>
            <w:vAlign w:val="center"/>
          </w:tcPr>
          <w:p>
            <w:pPr>
              <w:spacing w:after="60" w:before="60"/>
              <w:jc w:val="left"/>
            </w:pPr>
            <w:r>
              <w:rPr>
                <w:b w:val="false"/>
                <w:bCs w:val="false"/>
                <w:color w:val="333333"/>
                <w:sz w:val="18"/>
                <w:szCs w:val="18"/>
              </w:rPr>
              <w:t xml:space="preserve">2021</w:t>
            </w:r>
          </w:p>
        </w:tc>
        <w:tc>
          <w:tcPr>
            <w:tcW w:type="dxa" w:w="2400"/>
            <w:tcBorders>
              <w:top w:val="single" w:color="AACCDD" w:sz="4"/>
              <w:left w:val="single" w:color="AACCDD" w:sz="4"/>
              <w:bottom w:val="single" w:color="AACCDD" w:sz="4"/>
              <w:right w:val="single" w:color="AACCDD" w:sz="4"/>
            </w:tcBorders>
            <w:shd w:fill="EEF5F9" w:val="clear"/>
            <w:tcMar>
              <w:top w:type="dxa" w:w="80"/>
              <w:left w:type="dxa" w:w="120"/>
              <w:bottom w:type="dxa" w:w="80"/>
              <w:right w:type="dxa" w:w="120"/>
            </w:tcMar>
            <w:vAlign w:val="center"/>
          </w:tcPr>
          <w:p>
            <w:pPr>
              <w:spacing w:after="60" w:before="60"/>
              <w:jc w:val="left"/>
            </w:pPr>
            <w:r>
              <w:rPr>
                <w:b w:val="false"/>
                <w:bCs w:val="false"/>
                <w:color w:val="333333"/>
                <w:sz w:val="18"/>
                <w:szCs w:val="18"/>
              </w:rPr>
              <w:t xml:space="preserve">FOMO Bull Market</w:t>
            </w:r>
          </w:p>
        </w:tc>
        <w:tc>
          <w:tcPr>
            <w:tcW w:type="dxa" w:w="1000"/>
            <w:tcBorders>
              <w:top w:val="single" w:color="AACCDD" w:sz="4"/>
              <w:left w:val="single" w:color="AACCDD" w:sz="4"/>
              <w:bottom w:val="single" w:color="AACCDD" w:sz="4"/>
              <w:right w:val="single" w:color="AACCDD" w:sz="4"/>
            </w:tcBorders>
            <w:shd w:fill="EEF5F9" w:val="clear"/>
            <w:tcMar>
              <w:top w:type="dxa" w:w="80"/>
              <w:left w:type="dxa" w:w="120"/>
              <w:bottom w:type="dxa" w:w="80"/>
              <w:right w:type="dxa" w:w="120"/>
            </w:tcMar>
            <w:vAlign w:val="center"/>
          </w:tcPr>
          <w:p>
            <w:pPr>
              <w:spacing w:after="60" w:before="60"/>
              <w:jc w:val="left"/>
            </w:pPr>
            <w:r>
              <w:rPr>
                <w:b w:val="false"/>
                <w:bCs w:val="false"/>
                <w:color w:val="333333"/>
                <w:sz w:val="18"/>
                <w:szCs w:val="18"/>
              </w:rPr>
              <w:t xml:space="preserve">2.04</w:t>
            </w:r>
          </w:p>
        </w:tc>
        <w:tc>
          <w:tcPr>
            <w:tcW w:type="dxa" w:w="1100"/>
            <w:tcBorders>
              <w:top w:val="single" w:color="AACCDD" w:sz="4"/>
              <w:left w:val="single" w:color="AACCDD" w:sz="4"/>
              <w:bottom w:val="single" w:color="AACCDD" w:sz="4"/>
              <w:right w:val="single" w:color="AACCDD" w:sz="4"/>
            </w:tcBorders>
            <w:shd w:fill="EEF5F9" w:val="clear"/>
            <w:tcMar>
              <w:top w:type="dxa" w:w="80"/>
              <w:left w:type="dxa" w:w="120"/>
              <w:bottom w:type="dxa" w:w="80"/>
              <w:right w:type="dxa" w:w="120"/>
            </w:tcMar>
            <w:vAlign w:val="center"/>
          </w:tcPr>
          <w:p>
            <w:pPr>
              <w:spacing w:after="60" w:before="60"/>
              <w:jc w:val="left"/>
            </w:pPr>
            <w:r>
              <w:rPr>
                <w:b w:val="false"/>
                <w:bCs w:val="false"/>
                <w:color w:val="333333"/>
                <w:sz w:val="18"/>
                <w:szCs w:val="18"/>
              </w:rPr>
              <w:t xml:space="preserve">2.99</w:t>
            </w:r>
          </w:p>
        </w:tc>
        <w:tc>
          <w:tcPr>
            <w:tcW w:type="dxa" w:w="1000"/>
            <w:tcBorders>
              <w:top w:val="single" w:color="AACCDD" w:sz="4"/>
              <w:left w:val="single" w:color="AACCDD" w:sz="4"/>
              <w:bottom w:val="single" w:color="AACCDD" w:sz="4"/>
              <w:right w:val="single" w:color="AACCDD" w:sz="4"/>
            </w:tcBorders>
            <w:shd w:fill="EEF5F9" w:val="clear"/>
            <w:tcMar>
              <w:top w:type="dxa" w:w="80"/>
              <w:left w:type="dxa" w:w="120"/>
              <w:bottom w:type="dxa" w:w="80"/>
              <w:right w:type="dxa" w:w="120"/>
            </w:tcMar>
            <w:vAlign w:val="center"/>
          </w:tcPr>
          <w:p>
            <w:pPr>
              <w:spacing w:after="60" w:before="60"/>
              <w:jc w:val="left"/>
            </w:pPr>
            <w:r>
              <w:rPr>
                <w:b w:val="false"/>
                <w:bCs w:val="false"/>
                <w:color w:val="333333"/>
                <w:sz w:val="18"/>
                <w:szCs w:val="18"/>
              </w:rPr>
              <w:t xml:space="preserve">~40%</w:t>
            </w:r>
          </w:p>
        </w:tc>
        <w:tc>
          <w:tcPr>
            <w:tcW w:type="dxa" w:w="780"/>
            <w:tcBorders>
              <w:top w:val="single" w:color="AACCDD" w:sz="4"/>
              <w:left w:val="single" w:color="AACCDD" w:sz="4"/>
              <w:bottom w:val="single" w:color="AACCDD" w:sz="4"/>
              <w:right w:val="single" w:color="AACCDD" w:sz="4"/>
            </w:tcBorders>
            <w:shd w:fill="EEF5F9" w:val="clear"/>
            <w:tcMar>
              <w:top w:type="dxa" w:w="80"/>
              <w:left w:type="dxa" w:w="120"/>
              <w:bottom w:type="dxa" w:w="80"/>
              <w:right w:type="dxa" w:w="120"/>
            </w:tcMar>
            <w:vAlign w:val="center"/>
          </w:tcPr>
          <w:p>
            <w:pPr>
              <w:spacing w:after="60" w:before="60"/>
              <w:jc w:val="left"/>
            </w:pPr>
            <w:r>
              <w:rPr>
                <w:b w:val="false"/>
                <w:bCs w:val="false"/>
                <w:color w:val="333333"/>
                <w:sz w:val="18"/>
                <w:szCs w:val="18"/>
              </w:rPr>
              <w:t xml:space="preserve">+0.37</w:t>
            </w:r>
          </w:p>
        </w:tc>
      </w:tr>
      <w:tr>
        <w:tc>
          <w:tcPr>
            <w:tcW w:type="dxa" w:w="600"/>
            <w:tcBorders>
              <w:top w:val="single" w:color="AACCDD" w:sz="4"/>
              <w:left w:val="single" w:color="AACCDD" w:sz="4"/>
              <w:bottom w:val="single" w:color="AACCDD" w:sz="4"/>
              <w:right w:val="single" w:color="AACCDD" w:sz="4"/>
            </w:tcBorders>
            <w:shd w:fill="FFFFFF" w:val="clear"/>
            <w:tcMar>
              <w:top w:type="dxa" w:w="80"/>
              <w:left w:type="dxa" w:w="120"/>
              <w:bottom w:type="dxa" w:w="80"/>
              <w:right w:type="dxa" w:w="120"/>
            </w:tcMar>
            <w:vAlign w:val="center"/>
          </w:tcPr>
          <w:p>
            <w:pPr>
              <w:spacing w:after="60" w:before="60"/>
              <w:jc w:val="left"/>
            </w:pPr>
            <w:r>
              <w:rPr>
                <w:b w:val="false"/>
                <w:bCs w:val="false"/>
                <w:color w:val="333333"/>
                <w:sz w:val="18"/>
                <w:szCs w:val="18"/>
              </w:rPr>
              <w:t xml:space="preserve">W3</w:t>
            </w:r>
          </w:p>
        </w:tc>
        <w:tc>
          <w:tcPr>
            <w:tcW w:type="dxa" w:w="1200"/>
            <w:tcBorders>
              <w:top w:val="single" w:color="AACCDD" w:sz="4"/>
              <w:left w:val="single" w:color="AACCDD" w:sz="4"/>
              <w:bottom w:val="single" w:color="AACCDD" w:sz="4"/>
              <w:right w:val="single" w:color="AACCDD" w:sz="4"/>
            </w:tcBorders>
            <w:shd w:fill="FFFFFF" w:val="clear"/>
            <w:tcMar>
              <w:top w:type="dxa" w:w="80"/>
              <w:left w:type="dxa" w:w="120"/>
              <w:bottom w:type="dxa" w:w="80"/>
              <w:right w:type="dxa" w:w="120"/>
            </w:tcMar>
            <w:vAlign w:val="center"/>
          </w:tcPr>
          <w:p>
            <w:pPr>
              <w:spacing w:after="60" w:before="60"/>
              <w:jc w:val="left"/>
            </w:pPr>
            <w:r>
              <w:rPr>
                <w:b w:val="false"/>
                <w:bCs w:val="false"/>
                <w:color w:val="333333"/>
                <w:sz w:val="18"/>
                <w:szCs w:val="18"/>
              </w:rPr>
              <w:t xml:space="preserve">2018–2021</w:t>
            </w:r>
          </w:p>
        </w:tc>
        <w:tc>
          <w:tcPr>
            <w:tcW w:type="dxa" w:w="1000"/>
            <w:tcBorders>
              <w:top w:val="single" w:color="AACCDD" w:sz="4"/>
              <w:left w:val="single" w:color="AACCDD" w:sz="4"/>
              <w:bottom w:val="single" w:color="AACCDD" w:sz="4"/>
              <w:right w:val="single" w:color="AACCDD" w:sz="4"/>
            </w:tcBorders>
            <w:shd w:fill="FFFFFF" w:val="clear"/>
            <w:tcMar>
              <w:top w:type="dxa" w:w="80"/>
              <w:left w:type="dxa" w:w="120"/>
              <w:bottom w:type="dxa" w:w="80"/>
              <w:right w:type="dxa" w:w="120"/>
            </w:tcMar>
            <w:vAlign w:val="center"/>
          </w:tcPr>
          <w:p>
            <w:pPr>
              <w:spacing w:after="60" w:before="60"/>
              <w:jc w:val="left"/>
            </w:pPr>
            <w:r>
              <w:rPr>
                <w:b w:val="false"/>
                <w:bCs w:val="false"/>
                <w:color w:val="333333"/>
                <w:sz w:val="18"/>
                <w:szCs w:val="18"/>
              </w:rPr>
              <w:t xml:space="preserve">2022</w:t>
            </w:r>
          </w:p>
        </w:tc>
        <w:tc>
          <w:tcPr>
            <w:tcW w:type="dxa" w:w="2400"/>
            <w:tcBorders>
              <w:top w:val="single" w:color="AACCDD" w:sz="4"/>
              <w:left w:val="single" w:color="AACCDD" w:sz="4"/>
              <w:bottom w:val="single" w:color="AACCDD" w:sz="4"/>
              <w:right w:val="single" w:color="AACCDD" w:sz="4"/>
            </w:tcBorders>
            <w:shd w:fill="FFFFFF" w:val="clear"/>
            <w:tcMar>
              <w:top w:type="dxa" w:w="80"/>
              <w:left w:type="dxa" w:w="120"/>
              <w:bottom w:type="dxa" w:w="80"/>
              <w:right w:type="dxa" w:w="120"/>
            </w:tcMar>
            <w:vAlign w:val="center"/>
          </w:tcPr>
          <w:p>
            <w:pPr>
              <w:spacing w:after="60" w:before="60"/>
              <w:jc w:val="left"/>
            </w:pPr>
            <w:r>
              <w:rPr>
                <w:b w:val="false"/>
                <w:bCs w:val="false"/>
                <w:color w:val="333333"/>
                <w:sz w:val="18"/>
                <w:szCs w:val="18"/>
              </w:rPr>
              <w:t xml:space="preserve">Fed Rate Hike Bear</w:t>
            </w:r>
          </w:p>
        </w:tc>
        <w:tc>
          <w:tcPr>
            <w:tcW w:type="dxa" w:w="1000"/>
            <w:tcBorders>
              <w:top w:val="single" w:color="AACCDD" w:sz="4"/>
              <w:left w:val="single" w:color="AACCDD" w:sz="4"/>
              <w:bottom w:val="single" w:color="AACCDD" w:sz="4"/>
              <w:right w:val="single" w:color="AACCDD" w:sz="4"/>
            </w:tcBorders>
            <w:shd w:fill="FFFFFF" w:val="clear"/>
            <w:tcMar>
              <w:top w:type="dxa" w:w="80"/>
              <w:left w:type="dxa" w:w="120"/>
              <w:bottom w:type="dxa" w:w="80"/>
              <w:right w:type="dxa" w:w="120"/>
            </w:tcMar>
            <w:vAlign w:val="center"/>
          </w:tcPr>
          <w:p>
            <w:pPr>
              <w:spacing w:after="60" w:before="60"/>
              <w:jc w:val="left"/>
            </w:pPr>
            <w:r>
              <w:rPr>
                <w:b w:val="false"/>
                <w:bCs w:val="false"/>
                <w:color w:val="333333"/>
                <w:sz w:val="18"/>
                <w:szCs w:val="18"/>
              </w:rPr>
              <w:t xml:space="preserve">2.52</w:t>
            </w:r>
          </w:p>
        </w:tc>
        <w:tc>
          <w:tcPr>
            <w:tcW w:type="dxa" w:w="1100"/>
            <w:tcBorders>
              <w:top w:val="single" w:color="AACCDD" w:sz="4"/>
              <w:left w:val="single" w:color="AACCDD" w:sz="4"/>
              <w:bottom w:val="single" w:color="AACCDD" w:sz="4"/>
              <w:right w:val="single" w:color="AACCDD" w:sz="4"/>
            </w:tcBorders>
            <w:shd w:fill="FFFFFF" w:val="clear"/>
            <w:tcMar>
              <w:top w:type="dxa" w:w="80"/>
              <w:left w:type="dxa" w:w="120"/>
              <w:bottom w:type="dxa" w:w="80"/>
              <w:right w:type="dxa" w:w="120"/>
            </w:tcMar>
            <w:vAlign w:val="center"/>
          </w:tcPr>
          <w:p>
            <w:pPr>
              <w:spacing w:after="60" w:before="60"/>
              <w:jc w:val="left"/>
            </w:pPr>
            <w:r>
              <w:rPr>
                <w:b w:val="false"/>
                <w:bCs w:val="false"/>
                <w:color w:val="333333"/>
                <w:sz w:val="18"/>
                <w:szCs w:val="18"/>
              </w:rPr>
              <w:t xml:space="preserve">1.97</w:t>
            </w:r>
          </w:p>
        </w:tc>
        <w:tc>
          <w:tcPr>
            <w:tcW w:type="dxa" w:w="1000"/>
            <w:tcBorders>
              <w:top w:val="single" w:color="AACCDD" w:sz="4"/>
              <w:left w:val="single" w:color="AACCDD" w:sz="4"/>
              <w:bottom w:val="single" w:color="AACCDD" w:sz="4"/>
              <w:right w:val="single" w:color="AACCDD" w:sz="4"/>
            </w:tcBorders>
            <w:shd w:fill="FFFFFF" w:val="clear"/>
            <w:tcMar>
              <w:top w:type="dxa" w:w="80"/>
              <w:left w:type="dxa" w:w="120"/>
              <w:bottom w:type="dxa" w:w="80"/>
              <w:right w:type="dxa" w:w="120"/>
            </w:tcMar>
            <w:vAlign w:val="center"/>
          </w:tcPr>
          <w:p>
            <w:pPr>
              <w:spacing w:after="60" w:before="60"/>
              <w:jc w:val="left"/>
            </w:pPr>
            <w:r>
              <w:rPr>
                <w:b w:val="false"/>
                <w:bCs w:val="false"/>
                <w:color w:val="333333"/>
                <w:sz w:val="18"/>
                <w:szCs w:val="18"/>
              </w:rPr>
              <w:t xml:space="preserve">~20%</w:t>
            </w:r>
          </w:p>
        </w:tc>
        <w:tc>
          <w:tcPr>
            <w:tcW w:type="dxa" w:w="780"/>
            <w:tcBorders>
              <w:top w:val="single" w:color="AACCDD" w:sz="4"/>
              <w:left w:val="single" w:color="AACCDD" w:sz="4"/>
              <w:bottom w:val="single" w:color="AACCDD" w:sz="4"/>
              <w:right w:val="single" w:color="AACCDD" w:sz="4"/>
            </w:tcBorders>
            <w:shd w:fill="FFFFFF" w:val="clear"/>
            <w:tcMar>
              <w:top w:type="dxa" w:w="80"/>
              <w:left w:type="dxa" w:w="120"/>
              <w:bottom w:type="dxa" w:w="80"/>
              <w:right w:type="dxa" w:w="120"/>
            </w:tcMar>
            <w:vAlign w:val="center"/>
          </w:tcPr>
          <w:p>
            <w:pPr>
              <w:spacing w:after="60" w:before="60"/>
              <w:jc w:val="left"/>
            </w:pPr>
            <w:r>
              <w:rPr>
                <w:b w:val="false"/>
                <w:bCs w:val="false"/>
                <w:color w:val="333333"/>
                <w:sz w:val="18"/>
                <w:szCs w:val="18"/>
              </w:rPr>
              <w:t xml:space="preserve">+0.22</w:t>
            </w:r>
          </w:p>
        </w:tc>
      </w:tr>
      <w:tr>
        <w:tc>
          <w:tcPr>
            <w:tcW w:type="dxa" w:w="600"/>
            <w:tcBorders>
              <w:top w:val="single" w:color="AACCDD" w:sz="4"/>
              <w:left w:val="single" w:color="AACCDD" w:sz="4"/>
              <w:bottom w:val="single" w:color="AACCDD" w:sz="4"/>
              <w:right w:val="single" w:color="AACCDD" w:sz="4"/>
            </w:tcBorders>
            <w:shd w:fill="EEF5F9" w:val="clear"/>
            <w:tcMar>
              <w:top w:type="dxa" w:w="80"/>
              <w:left w:type="dxa" w:w="120"/>
              <w:bottom w:type="dxa" w:w="80"/>
              <w:right w:type="dxa" w:w="120"/>
            </w:tcMar>
            <w:vAlign w:val="center"/>
          </w:tcPr>
          <w:p>
            <w:pPr>
              <w:spacing w:after="60" w:before="60"/>
              <w:jc w:val="left"/>
            </w:pPr>
            <w:r>
              <w:rPr>
                <w:b w:val="false"/>
                <w:bCs w:val="false"/>
                <w:color w:val="333333"/>
                <w:sz w:val="18"/>
                <w:szCs w:val="18"/>
              </w:rPr>
              <w:t xml:space="preserve">W4</w:t>
            </w:r>
          </w:p>
        </w:tc>
        <w:tc>
          <w:tcPr>
            <w:tcW w:type="dxa" w:w="1200"/>
            <w:tcBorders>
              <w:top w:val="single" w:color="AACCDD" w:sz="4"/>
              <w:left w:val="single" w:color="AACCDD" w:sz="4"/>
              <w:bottom w:val="single" w:color="AACCDD" w:sz="4"/>
              <w:right w:val="single" w:color="AACCDD" w:sz="4"/>
            </w:tcBorders>
            <w:shd w:fill="EEF5F9" w:val="clear"/>
            <w:tcMar>
              <w:top w:type="dxa" w:w="80"/>
              <w:left w:type="dxa" w:w="120"/>
              <w:bottom w:type="dxa" w:w="80"/>
              <w:right w:type="dxa" w:w="120"/>
            </w:tcMar>
            <w:vAlign w:val="center"/>
          </w:tcPr>
          <w:p>
            <w:pPr>
              <w:spacing w:after="60" w:before="60"/>
              <w:jc w:val="left"/>
            </w:pPr>
            <w:r>
              <w:rPr>
                <w:b w:val="false"/>
                <w:bCs w:val="false"/>
                <w:color w:val="333333"/>
                <w:sz w:val="18"/>
                <w:szCs w:val="18"/>
              </w:rPr>
              <w:t xml:space="preserve">2018–2022</w:t>
            </w:r>
          </w:p>
        </w:tc>
        <w:tc>
          <w:tcPr>
            <w:tcW w:type="dxa" w:w="1000"/>
            <w:tcBorders>
              <w:top w:val="single" w:color="AACCDD" w:sz="4"/>
              <w:left w:val="single" w:color="AACCDD" w:sz="4"/>
              <w:bottom w:val="single" w:color="AACCDD" w:sz="4"/>
              <w:right w:val="single" w:color="AACCDD" w:sz="4"/>
            </w:tcBorders>
            <w:shd w:fill="EEF5F9" w:val="clear"/>
            <w:tcMar>
              <w:top w:type="dxa" w:w="80"/>
              <w:left w:type="dxa" w:w="120"/>
              <w:bottom w:type="dxa" w:w="80"/>
              <w:right w:type="dxa" w:w="120"/>
            </w:tcMar>
            <w:vAlign w:val="center"/>
          </w:tcPr>
          <w:p>
            <w:pPr>
              <w:spacing w:after="60" w:before="60"/>
              <w:jc w:val="left"/>
            </w:pPr>
            <w:r>
              <w:rPr>
                <w:b w:val="false"/>
                <w:bCs w:val="false"/>
                <w:color w:val="333333"/>
                <w:sz w:val="18"/>
                <w:szCs w:val="18"/>
              </w:rPr>
              <w:t xml:space="preserve">2023</w:t>
            </w:r>
          </w:p>
        </w:tc>
        <w:tc>
          <w:tcPr>
            <w:tcW w:type="dxa" w:w="2400"/>
            <w:tcBorders>
              <w:top w:val="single" w:color="AACCDD" w:sz="4"/>
              <w:left w:val="single" w:color="AACCDD" w:sz="4"/>
              <w:bottom w:val="single" w:color="AACCDD" w:sz="4"/>
              <w:right w:val="single" w:color="AACCDD" w:sz="4"/>
            </w:tcBorders>
            <w:shd w:fill="EEF5F9" w:val="clear"/>
            <w:tcMar>
              <w:top w:type="dxa" w:w="80"/>
              <w:left w:type="dxa" w:w="120"/>
              <w:bottom w:type="dxa" w:w="80"/>
              <w:right w:type="dxa" w:w="120"/>
            </w:tcMar>
            <w:vAlign w:val="center"/>
          </w:tcPr>
          <w:p>
            <w:pPr>
              <w:spacing w:after="60" w:before="60"/>
              <w:jc w:val="left"/>
            </w:pPr>
            <w:r>
              <w:rPr>
                <w:b w:val="false"/>
                <w:bCs w:val="false"/>
                <w:color w:val="333333"/>
                <w:sz w:val="18"/>
                <w:szCs w:val="18"/>
              </w:rPr>
              <w:t xml:space="preserve">AI-Led Recovery</w:t>
            </w:r>
          </w:p>
        </w:tc>
        <w:tc>
          <w:tcPr>
            <w:tcW w:type="dxa" w:w="1000"/>
            <w:tcBorders>
              <w:top w:val="single" w:color="AACCDD" w:sz="4"/>
              <w:left w:val="single" w:color="AACCDD" w:sz="4"/>
              <w:bottom w:val="single" w:color="AACCDD" w:sz="4"/>
              <w:right w:val="single" w:color="AACCDD" w:sz="4"/>
            </w:tcBorders>
            <w:shd w:fill="EEF5F9" w:val="clear"/>
            <w:tcMar>
              <w:top w:type="dxa" w:w="80"/>
              <w:left w:type="dxa" w:w="120"/>
              <w:bottom w:type="dxa" w:w="80"/>
              <w:right w:type="dxa" w:w="120"/>
            </w:tcMar>
            <w:vAlign w:val="center"/>
          </w:tcPr>
          <w:p>
            <w:pPr>
              <w:spacing w:after="60" w:before="60"/>
              <w:jc w:val="left"/>
            </w:pPr>
            <w:r>
              <w:rPr>
                <w:b w:val="false"/>
                <w:bCs w:val="false"/>
                <w:color w:val="333333"/>
                <w:sz w:val="18"/>
                <w:szCs w:val="18"/>
              </w:rPr>
              <w:t xml:space="preserve">2.68</w:t>
            </w:r>
          </w:p>
        </w:tc>
        <w:tc>
          <w:tcPr>
            <w:tcW w:type="dxa" w:w="1100"/>
            <w:tcBorders>
              <w:top w:val="single" w:color="AACCDD" w:sz="4"/>
              <w:left w:val="single" w:color="AACCDD" w:sz="4"/>
              <w:bottom w:val="single" w:color="AACCDD" w:sz="4"/>
              <w:right w:val="single" w:color="AACCDD" w:sz="4"/>
            </w:tcBorders>
            <w:shd w:fill="EEF5F9" w:val="clear"/>
            <w:tcMar>
              <w:top w:type="dxa" w:w="80"/>
              <w:left w:type="dxa" w:w="120"/>
              <w:bottom w:type="dxa" w:w="80"/>
              <w:right w:type="dxa" w:w="120"/>
            </w:tcMar>
            <w:vAlign w:val="center"/>
          </w:tcPr>
          <w:p>
            <w:pPr>
              <w:spacing w:after="60" w:before="60"/>
              <w:jc w:val="left"/>
            </w:pPr>
            <w:r>
              <w:rPr>
                <w:b w:val="false"/>
                <w:bCs w:val="false"/>
                <w:color w:val="333333"/>
                <w:sz w:val="18"/>
                <w:szCs w:val="18"/>
              </w:rPr>
              <w:t xml:space="preserve">3.27</w:t>
            </w:r>
          </w:p>
        </w:tc>
        <w:tc>
          <w:tcPr>
            <w:tcW w:type="dxa" w:w="1000"/>
            <w:tcBorders>
              <w:top w:val="single" w:color="AACCDD" w:sz="4"/>
              <w:left w:val="single" w:color="AACCDD" w:sz="4"/>
              <w:bottom w:val="single" w:color="AACCDD" w:sz="4"/>
              <w:right w:val="single" w:color="AACCDD" w:sz="4"/>
            </w:tcBorders>
            <w:shd w:fill="EEF5F9" w:val="clear"/>
            <w:tcMar>
              <w:top w:type="dxa" w:w="80"/>
              <w:left w:type="dxa" w:w="120"/>
              <w:bottom w:type="dxa" w:w="80"/>
              <w:right w:type="dxa" w:w="120"/>
            </w:tcMar>
            <w:vAlign w:val="center"/>
          </w:tcPr>
          <w:p>
            <w:pPr>
              <w:spacing w:after="60" w:before="60"/>
              <w:jc w:val="left"/>
            </w:pPr>
            <w:r>
              <w:rPr>
                <w:b w:val="false"/>
                <w:bCs w:val="false"/>
                <w:color w:val="333333"/>
                <w:sz w:val="18"/>
                <w:szCs w:val="18"/>
              </w:rPr>
              <w:t xml:space="preserve">~35%</w:t>
            </w:r>
          </w:p>
        </w:tc>
        <w:tc>
          <w:tcPr>
            <w:tcW w:type="dxa" w:w="780"/>
            <w:tcBorders>
              <w:top w:val="single" w:color="AACCDD" w:sz="4"/>
              <w:left w:val="single" w:color="AACCDD" w:sz="4"/>
              <w:bottom w:val="single" w:color="AACCDD" w:sz="4"/>
              <w:right w:val="single" w:color="AACCDD" w:sz="4"/>
            </w:tcBorders>
            <w:shd w:fill="EEF5F9" w:val="clear"/>
            <w:tcMar>
              <w:top w:type="dxa" w:w="80"/>
              <w:left w:type="dxa" w:w="120"/>
              <w:bottom w:type="dxa" w:w="80"/>
              <w:right w:type="dxa" w:w="120"/>
            </w:tcMar>
            <w:vAlign w:val="center"/>
          </w:tcPr>
          <w:p>
            <w:pPr>
              <w:spacing w:after="60" w:before="60"/>
              <w:jc w:val="left"/>
            </w:pPr>
            <w:r>
              <w:rPr>
                <w:b w:val="false"/>
                <w:bCs w:val="false"/>
                <w:color w:val="333333"/>
                <w:sz w:val="18"/>
                <w:szCs w:val="18"/>
              </w:rPr>
              <w:t xml:space="preserve">+0.18</w:t>
            </w:r>
          </w:p>
        </w:tc>
      </w:tr>
      <w:tr>
        <w:tc>
          <w:tcPr>
            <w:tcW w:type="dxa" w:w="600"/>
            <w:tcBorders>
              <w:top w:val="single" w:color="AACCDD" w:sz="4"/>
              <w:left w:val="single" w:color="AACCDD" w:sz="4"/>
              <w:bottom w:val="single" w:color="AACCDD" w:sz="4"/>
              <w:right w:val="single" w:color="AACCDD" w:sz="4"/>
            </w:tcBorders>
            <w:shd w:fill="FFFFFF" w:val="clear"/>
            <w:tcMar>
              <w:top w:type="dxa" w:w="80"/>
              <w:left w:type="dxa" w:w="120"/>
              <w:bottom w:type="dxa" w:w="80"/>
              <w:right w:type="dxa" w:w="120"/>
            </w:tcMar>
            <w:vAlign w:val="center"/>
          </w:tcPr>
          <w:p>
            <w:pPr>
              <w:spacing w:after="60" w:before="60"/>
              <w:jc w:val="left"/>
            </w:pPr>
            <w:r>
              <w:rPr>
                <w:b w:val="false"/>
                <w:bCs w:val="false"/>
                <w:color w:val="333333"/>
                <w:sz w:val="18"/>
                <w:szCs w:val="18"/>
              </w:rPr>
              <w:t xml:space="preserve">W5</w:t>
            </w:r>
          </w:p>
        </w:tc>
        <w:tc>
          <w:tcPr>
            <w:tcW w:type="dxa" w:w="1200"/>
            <w:tcBorders>
              <w:top w:val="single" w:color="AACCDD" w:sz="4"/>
              <w:left w:val="single" w:color="AACCDD" w:sz="4"/>
              <w:bottom w:val="single" w:color="AACCDD" w:sz="4"/>
              <w:right w:val="single" w:color="AACCDD" w:sz="4"/>
            </w:tcBorders>
            <w:shd w:fill="FFFFFF" w:val="clear"/>
            <w:tcMar>
              <w:top w:type="dxa" w:w="80"/>
              <w:left w:type="dxa" w:w="120"/>
              <w:bottom w:type="dxa" w:w="80"/>
              <w:right w:type="dxa" w:w="120"/>
            </w:tcMar>
            <w:vAlign w:val="center"/>
          </w:tcPr>
          <w:p>
            <w:pPr>
              <w:spacing w:after="60" w:before="60"/>
              <w:jc w:val="left"/>
            </w:pPr>
            <w:r>
              <w:rPr>
                <w:b w:val="false"/>
                <w:bCs w:val="false"/>
                <w:color w:val="333333"/>
                <w:sz w:val="18"/>
                <w:szCs w:val="18"/>
              </w:rPr>
              <w:t xml:space="preserve">2018–2023</w:t>
            </w:r>
          </w:p>
        </w:tc>
        <w:tc>
          <w:tcPr>
            <w:tcW w:type="dxa" w:w="1000"/>
            <w:tcBorders>
              <w:top w:val="single" w:color="AACCDD" w:sz="4"/>
              <w:left w:val="single" w:color="AACCDD" w:sz="4"/>
              <w:bottom w:val="single" w:color="AACCDD" w:sz="4"/>
              <w:right w:val="single" w:color="AACCDD" w:sz="4"/>
            </w:tcBorders>
            <w:shd w:fill="FFFFFF" w:val="clear"/>
            <w:tcMar>
              <w:top w:type="dxa" w:w="80"/>
              <w:left w:type="dxa" w:w="120"/>
              <w:bottom w:type="dxa" w:w="80"/>
              <w:right w:type="dxa" w:w="120"/>
            </w:tcMar>
            <w:vAlign w:val="center"/>
          </w:tcPr>
          <w:p>
            <w:pPr>
              <w:spacing w:after="60" w:before="60"/>
              <w:jc w:val="left"/>
            </w:pPr>
            <w:r>
              <w:rPr>
                <w:b w:val="false"/>
                <w:bCs w:val="false"/>
                <w:color w:val="333333"/>
                <w:sz w:val="18"/>
                <w:szCs w:val="18"/>
              </w:rPr>
              <w:t xml:space="preserve">2024</w:t>
            </w:r>
          </w:p>
        </w:tc>
        <w:tc>
          <w:tcPr>
            <w:tcW w:type="dxa" w:w="2400"/>
            <w:tcBorders>
              <w:top w:val="single" w:color="AACCDD" w:sz="4"/>
              <w:left w:val="single" w:color="AACCDD" w:sz="4"/>
              <w:bottom w:val="single" w:color="AACCDD" w:sz="4"/>
              <w:right w:val="single" w:color="AACCDD" w:sz="4"/>
            </w:tcBorders>
            <w:shd w:fill="FFFFFF" w:val="clear"/>
            <w:tcMar>
              <w:top w:type="dxa" w:w="80"/>
              <w:left w:type="dxa" w:w="120"/>
              <w:bottom w:type="dxa" w:w="80"/>
              <w:right w:type="dxa" w:w="120"/>
            </w:tcMar>
            <w:vAlign w:val="center"/>
          </w:tcPr>
          <w:p>
            <w:pPr>
              <w:spacing w:after="60" w:before="60"/>
              <w:jc w:val="left"/>
            </w:pPr>
            <w:r>
              <w:rPr>
                <w:b w:val="false"/>
                <w:bCs w:val="false"/>
                <w:color w:val="333333"/>
                <w:sz w:val="18"/>
                <w:szCs w:val="18"/>
              </w:rPr>
              <w:t xml:space="preserve">AI Bull Market</w:t>
            </w:r>
          </w:p>
        </w:tc>
        <w:tc>
          <w:tcPr>
            <w:tcW w:type="dxa" w:w="1000"/>
            <w:tcBorders>
              <w:top w:val="single" w:color="AACCDD" w:sz="4"/>
              <w:left w:val="single" w:color="AACCDD" w:sz="4"/>
              <w:bottom w:val="single" w:color="AACCDD" w:sz="4"/>
              <w:right w:val="single" w:color="AACCDD" w:sz="4"/>
            </w:tcBorders>
            <w:shd w:fill="FFFFFF" w:val="clear"/>
            <w:tcMar>
              <w:top w:type="dxa" w:w="80"/>
              <w:left w:type="dxa" w:w="120"/>
              <w:bottom w:type="dxa" w:w="80"/>
              <w:right w:type="dxa" w:w="120"/>
            </w:tcMar>
            <w:vAlign w:val="center"/>
          </w:tcPr>
          <w:p>
            <w:pPr>
              <w:spacing w:after="60" w:before="60"/>
              <w:jc w:val="left"/>
            </w:pPr>
            <w:r>
              <w:rPr>
                <w:b w:val="false"/>
                <w:bCs w:val="false"/>
                <w:color w:val="333333"/>
                <w:sz w:val="18"/>
                <w:szCs w:val="18"/>
              </w:rPr>
              <w:t xml:space="preserve">2.15</w:t>
            </w:r>
          </w:p>
        </w:tc>
        <w:tc>
          <w:tcPr>
            <w:tcW w:type="dxa" w:w="1100"/>
            <w:tcBorders>
              <w:top w:val="single" w:color="AACCDD" w:sz="4"/>
              <w:left w:val="single" w:color="AACCDD" w:sz="4"/>
              <w:bottom w:val="single" w:color="AACCDD" w:sz="4"/>
              <w:right w:val="single" w:color="AACCDD" w:sz="4"/>
            </w:tcBorders>
            <w:shd w:fill="FFFFFF" w:val="clear"/>
            <w:tcMar>
              <w:top w:type="dxa" w:w="80"/>
              <w:left w:type="dxa" w:w="120"/>
              <w:bottom w:type="dxa" w:w="80"/>
              <w:right w:type="dxa" w:w="120"/>
            </w:tcMar>
            <w:vAlign w:val="center"/>
          </w:tcPr>
          <w:p>
            <w:pPr>
              <w:spacing w:after="60" w:before="60"/>
              <w:jc w:val="left"/>
            </w:pPr>
            <w:r>
              <w:rPr>
                <w:b w:val="false"/>
                <w:bCs w:val="false"/>
                <w:color w:val="333333"/>
                <w:sz w:val="18"/>
                <w:szCs w:val="18"/>
              </w:rPr>
              <w:t xml:space="preserve">3.73</w:t>
            </w:r>
          </w:p>
        </w:tc>
        <w:tc>
          <w:tcPr>
            <w:tcW w:type="dxa" w:w="1000"/>
            <w:tcBorders>
              <w:top w:val="single" w:color="AACCDD" w:sz="4"/>
              <w:left w:val="single" w:color="AACCDD" w:sz="4"/>
              <w:bottom w:val="single" w:color="AACCDD" w:sz="4"/>
              <w:right w:val="single" w:color="AACCDD" w:sz="4"/>
            </w:tcBorders>
            <w:shd w:fill="FFFFFF" w:val="clear"/>
            <w:tcMar>
              <w:top w:type="dxa" w:w="80"/>
              <w:left w:type="dxa" w:w="120"/>
              <w:bottom w:type="dxa" w:w="80"/>
              <w:right w:type="dxa" w:w="120"/>
            </w:tcMar>
            <w:vAlign w:val="center"/>
          </w:tcPr>
          <w:p>
            <w:pPr>
              <w:spacing w:after="60" w:before="60"/>
              <w:jc w:val="left"/>
            </w:pPr>
            <w:r>
              <w:rPr>
                <w:b w:val="false"/>
                <w:bCs w:val="false"/>
                <w:color w:val="333333"/>
                <w:sz w:val="18"/>
                <w:szCs w:val="18"/>
              </w:rPr>
              <w:t xml:space="preserve">~55%</w:t>
            </w:r>
          </w:p>
        </w:tc>
        <w:tc>
          <w:tcPr>
            <w:tcW w:type="dxa" w:w="780"/>
            <w:tcBorders>
              <w:top w:val="single" w:color="AACCDD" w:sz="4"/>
              <w:left w:val="single" w:color="AACCDD" w:sz="4"/>
              <w:bottom w:val="single" w:color="AACCDD" w:sz="4"/>
              <w:right w:val="single" w:color="AACCDD" w:sz="4"/>
            </w:tcBorders>
            <w:shd w:fill="FFFFFF" w:val="clear"/>
            <w:tcMar>
              <w:top w:type="dxa" w:w="80"/>
              <w:left w:type="dxa" w:w="120"/>
              <w:bottom w:type="dxa" w:w="80"/>
              <w:right w:type="dxa" w:w="120"/>
            </w:tcMar>
            <w:vAlign w:val="center"/>
          </w:tcPr>
          <w:p>
            <w:pPr>
              <w:spacing w:after="60" w:before="60"/>
              <w:jc w:val="left"/>
            </w:pPr>
            <w:r>
              <w:rPr>
                <w:b w:val="false"/>
                <w:bCs w:val="false"/>
                <w:color w:val="333333"/>
                <w:sz w:val="18"/>
                <w:szCs w:val="18"/>
              </w:rPr>
              <w:t xml:space="preserve">-0.73</w:t>
            </w:r>
          </w:p>
        </w:tc>
      </w:tr>
      <w:tr>
        <w:tc>
          <w:tcPr>
            <w:tcW w:type="dxa" w:w="600"/>
            <w:tcBorders>
              <w:top w:val="single" w:color="AACCDD" w:sz="4"/>
              <w:left w:val="single" w:color="AACCDD" w:sz="4"/>
              <w:bottom w:val="single" w:color="AACCDD" w:sz="4"/>
              <w:right w:val="single" w:color="AACCDD" w:sz="4"/>
            </w:tcBorders>
            <w:shd w:fill="EEF5F9" w:val="clear"/>
            <w:tcMar>
              <w:top w:type="dxa" w:w="80"/>
              <w:left w:type="dxa" w:w="120"/>
              <w:bottom w:type="dxa" w:w="80"/>
              <w:right w:type="dxa" w:w="120"/>
            </w:tcMar>
            <w:vAlign w:val="center"/>
          </w:tcPr>
          <w:p>
            <w:pPr>
              <w:spacing w:after="60" w:before="60"/>
              <w:jc w:val="left"/>
            </w:pPr>
            <w:r>
              <w:rPr>
                <w:b/>
                <w:bCs/>
                <w:color w:val="333333"/>
                <w:sz w:val="18"/>
                <w:szCs w:val="18"/>
              </w:rPr>
              <w:t xml:space="preserve">Average</w:t>
            </w:r>
          </w:p>
        </w:tc>
        <w:tc>
          <w:tcPr>
            <w:tcW w:type="dxa" w:w="1200"/>
            <w:tcBorders>
              <w:top w:val="single" w:color="AACCDD" w:sz="4"/>
              <w:left w:val="single" w:color="AACCDD" w:sz="4"/>
              <w:bottom w:val="single" w:color="AACCDD" w:sz="4"/>
              <w:right w:val="single" w:color="AACCDD" w:sz="4"/>
            </w:tcBorders>
            <w:shd w:fill="EEF5F9" w:val="clear"/>
            <w:tcMar>
              <w:top w:type="dxa" w:w="80"/>
              <w:left w:type="dxa" w:w="120"/>
              <w:bottom w:type="dxa" w:w="80"/>
              <w:right w:type="dxa" w:w="120"/>
            </w:tcMar>
            <w:vAlign w:val="center"/>
          </w:tcPr>
          <w:p>
            <w:pPr>
              <w:spacing w:after="60" w:before="60"/>
              <w:jc w:val="left"/>
            </w:pPr>
            <w:r>
              <w:rPr>
                <w:b w:val="false"/>
                <w:bCs w:val="false"/>
                <w:color w:val="333333"/>
                <w:sz w:val="18"/>
                <w:szCs w:val="18"/>
              </w:rPr>
              <w:t xml:space="preserve"/>
            </w:r>
          </w:p>
        </w:tc>
        <w:tc>
          <w:tcPr>
            <w:tcW w:type="dxa" w:w="1000"/>
            <w:tcBorders>
              <w:top w:val="single" w:color="AACCDD" w:sz="4"/>
              <w:left w:val="single" w:color="AACCDD" w:sz="4"/>
              <w:bottom w:val="single" w:color="AACCDD" w:sz="4"/>
              <w:right w:val="single" w:color="AACCDD" w:sz="4"/>
            </w:tcBorders>
            <w:shd w:fill="EEF5F9" w:val="clear"/>
            <w:tcMar>
              <w:top w:type="dxa" w:w="80"/>
              <w:left w:type="dxa" w:w="120"/>
              <w:bottom w:type="dxa" w:w="80"/>
              <w:right w:type="dxa" w:w="120"/>
            </w:tcMar>
            <w:vAlign w:val="center"/>
          </w:tcPr>
          <w:p>
            <w:pPr>
              <w:spacing w:after="60" w:before="60"/>
              <w:jc w:val="left"/>
            </w:pPr>
            <w:r>
              <w:rPr>
                <w:b w:val="false"/>
                <w:bCs w:val="false"/>
                <w:color w:val="333333"/>
                <w:sz w:val="18"/>
                <w:szCs w:val="18"/>
              </w:rPr>
              <w:t xml:space="preserve"/>
            </w:r>
          </w:p>
        </w:tc>
        <w:tc>
          <w:tcPr>
            <w:tcW w:type="dxa" w:w="2400"/>
            <w:tcBorders>
              <w:top w:val="single" w:color="AACCDD" w:sz="4"/>
              <w:left w:val="single" w:color="AACCDD" w:sz="4"/>
              <w:bottom w:val="single" w:color="AACCDD" w:sz="4"/>
              <w:right w:val="single" w:color="AACCDD" w:sz="4"/>
            </w:tcBorders>
            <w:shd w:fill="EEF5F9" w:val="clear"/>
            <w:tcMar>
              <w:top w:type="dxa" w:w="80"/>
              <w:left w:type="dxa" w:w="120"/>
              <w:bottom w:type="dxa" w:w="80"/>
              <w:right w:type="dxa" w:w="120"/>
            </w:tcMar>
            <w:vAlign w:val="center"/>
          </w:tcPr>
          <w:p>
            <w:pPr>
              <w:spacing w:after="60" w:before="60"/>
              <w:jc w:val="left"/>
            </w:pPr>
            <w:r>
              <w:rPr>
                <w:b w:val="false"/>
                <w:bCs w:val="false"/>
                <w:color w:val="333333"/>
                <w:sz w:val="18"/>
                <w:szCs w:val="18"/>
              </w:rPr>
              <w:t xml:space="preserve"/>
            </w:r>
          </w:p>
        </w:tc>
        <w:tc>
          <w:tcPr>
            <w:tcW w:type="dxa" w:w="1000"/>
            <w:tcBorders>
              <w:top w:val="single" w:color="AACCDD" w:sz="4"/>
              <w:left w:val="single" w:color="AACCDD" w:sz="4"/>
              <w:bottom w:val="single" w:color="AACCDD" w:sz="4"/>
              <w:right w:val="single" w:color="AACCDD" w:sz="4"/>
            </w:tcBorders>
            <w:shd w:fill="EEF5F9" w:val="clear"/>
            <w:tcMar>
              <w:top w:type="dxa" w:w="80"/>
              <w:left w:type="dxa" w:w="120"/>
              <w:bottom w:type="dxa" w:w="80"/>
              <w:right w:type="dxa" w:w="120"/>
            </w:tcMar>
            <w:vAlign w:val="center"/>
          </w:tcPr>
          <w:p>
            <w:pPr>
              <w:spacing w:after="60" w:before="60"/>
              <w:jc w:val="left"/>
            </w:pPr>
            <w:r>
              <w:rPr>
                <w:b/>
                <w:bCs/>
                <w:color w:val="333333"/>
                <w:sz w:val="18"/>
                <w:szCs w:val="18"/>
              </w:rPr>
              <w:t xml:space="preserve">2.26</w:t>
            </w:r>
          </w:p>
        </w:tc>
        <w:tc>
          <w:tcPr>
            <w:tcW w:type="dxa" w:w="1100"/>
            <w:tcBorders>
              <w:top w:val="single" w:color="AACCDD" w:sz="4"/>
              <w:left w:val="single" w:color="AACCDD" w:sz="4"/>
              <w:bottom w:val="single" w:color="AACCDD" w:sz="4"/>
              <w:right w:val="single" w:color="AACCDD" w:sz="4"/>
            </w:tcBorders>
            <w:shd w:fill="EEF5F9" w:val="clear"/>
            <w:tcMar>
              <w:top w:type="dxa" w:w="80"/>
              <w:left w:type="dxa" w:w="120"/>
              <w:bottom w:type="dxa" w:w="80"/>
              <w:right w:type="dxa" w:w="120"/>
            </w:tcMar>
            <w:vAlign w:val="center"/>
          </w:tcPr>
          <w:p>
            <w:pPr>
              <w:spacing w:after="60" w:before="60"/>
              <w:jc w:val="left"/>
            </w:pPr>
            <w:r>
              <w:rPr>
                <w:b/>
                <w:bCs/>
                <w:color w:val="333333"/>
                <w:sz w:val="18"/>
                <w:szCs w:val="18"/>
              </w:rPr>
              <w:t xml:space="preserve">1.70</w:t>
            </w:r>
          </w:p>
        </w:tc>
        <w:tc>
          <w:tcPr>
            <w:tcW w:type="dxa" w:w="1000"/>
            <w:tcBorders>
              <w:top w:val="single" w:color="AACCDD" w:sz="4"/>
              <w:left w:val="single" w:color="AACCDD" w:sz="4"/>
              <w:bottom w:val="single" w:color="AACCDD" w:sz="4"/>
              <w:right w:val="single" w:color="AACCDD" w:sz="4"/>
            </w:tcBorders>
            <w:shd w:fill="EEF5F9" w:val="clear"/>
            <w:tcMar>
              <w:top w:type="dxa" w:w="80"/>
              <w:left w:type="dxa" w:w="120"/>
              <w:bottom w:type="dxa" w:w="80"/>
              <w:right w:type="dxa" w:w="120"/>
            </w:tcMar>
            <w:vAlign w:val="center"/>
          </w:tcPr>
          <w:p>
            <w:pPr>
              <w:spacing w:after="60" w:before="60"/>
              <w:jc w:val="left"/>
            </w:pPr>
            <w:r>
              <w:rPr>
                <w:b/>
                <w:bCs/>
                <w:color w:val="333333"/>
                <w:sz w:val="18"/>
                <w:szCs w:val="18"/>
              </w:rPr>
              <w:t xml:space="preserve">~35%</w:t>
            </w:r>
          </w:p>
        </w:tc>
        <w:tc>
          <w:tcPr>
            <w:tcW w:type="dxa" w:w="780"/>
            <w:tcBorders>
              <w:top w:val="single" w:color="AACCDD" w:sz="4"/>
              <w:left w:val="single" w:color="AACCDD" w:sz="4"/>
              <w:bottom w:val="single" w:color="AACCDD" w:sz="4"/>
              <w:right w:val="single" w:color="AACCDD" w:sz="4"/>
            </w:tcBorders>
            <w:shd w:fill="EEF5F9" w:val="clear"/>
            <w:tcMar>
              <w:top w:type="dxa" w:w="80"/>
              <w:left w:type="dxa" w:w="120"/>
              <w:bottom w:type="dxa" w:w="80"/>
              <w:right w:type="dxa" w:w="120"/>
            </w:tcMar>
            <w:vAlign w:val="center"/>
          </w:tcPr>
          <w:p>
            <w:pPr>
              <w:spacing w:after="60" w:before="60"/>
              <w:jc w:val="left"/>
            </w:pPr>
            <w:r>
              <w:rPr>
                <w:b/>
                <w:bCs/>
                <w:color w:val="333333"/>
                <w:sz w:val="18"/>
                <w:szCs w:val="18"/>
              </w:rPr>
              <w:t xml:space="preserve">0.23</w:t>
            </w:r>
          </w:p>
        </w:tc>
      </w:tr>
    </w:tbl>
    <w:p>
      <w:pPr>
        <w:spacing w:after="80" w:before="0"/>
      </w:pPr>
    </w:p>
    <w:p>
      <w:pPr>
        <w:spacing w:after="60" w:before="60"/>
        <w:jc w:val="left"/>
      </w:pPr>
      <w:r>
        <w:rPr>
          <w:b/>
          <w:bCs/>
          <w:i w:val="false"/>
          <w:iCs w:val="false"/>
          <w:color w:val="1a2744"/>
          <w:sz w:val="20"/>
          <w:szCs w:val="20"/>
        </w:rPr>
        <w:t xml:space="preserve">Key observation: W1 and W5 show NEGATIVE decay (OOS beats IS), demonstrating genuine alpha beyond what was optimised.</w:t>
      </w:r>
    </w:p>
    <w:p>
      <w:pPr>
        <w:spacing w:after="120" w:before="0"/>
      </w:pPr>
    </w:p>
    <w:p>
      <w:pPr>
        <w:pStyle w:val="Heading2"/>
        <w:pBdr>
          <w:bottom w:val="single" w:color="2C4A8C" w:sz="6"/>
        </w:pBdr>
        <w:spacing w:after="100" w:before="200"/>
      </w:pPr>
      <w:r>
        <w:rPr>
          <w:b/>
          <w:bCs/>
          <w:color w:val="1a2744"/>
          <w:sz w:val="24"/>
          <w:szCs w:val="24"/>
        </w:rPr>
        <w:t xml:space="preserve">3.3  Parameter Stability Analysis</w:t>
      </w:r>
    </w:p>
    <w:p>
      <w:pPr>
        <w:spacing w:after="60" w:before="60"/>
        <w:jc w:val="left"/>
      </w:pPr>
      <w:r>
        <w:rPr>
          <w:b/>
          <w:bCs/>
          <w:i w:val="false"/>
          <w:iCs w:val="false"/>
          <w:color w:val="333333"/>
          <w:sz w:val="20"/>
          <w:szCs w:val="20"/>
        </w:rPr>
        <w:t xml:space="preserve">TOP_N (Number of Holdings) — Walk-Forward Search Results:</w:t>
      </w:r>
    </w:p>
    <w:p>
      <w:pPr>
        <w:spacing w:after="60" w:before="0"/>
      </w:pPr>
    </w:p>
    <w:tbl>
      <w:tblPr>
        <w:tblW w:type="dxa" w:w="10080"/>
        <w:tblBorders>
          <w:top w:val="single" w:color="AACCDD" w:sz="4"/>
          <w:left w:val="single" w:color="AACCDD" w:sz="4"/>
          <w:bottom w:val="single" w:color="AACCDD" w:sz="4"/>
          <w:right w:val="single" w:color="AACCDD" w:sz="4"/>
          <w:insideH w:val="single" w:color="auto" w:sz="4"/>
          <w:insideV w:val="single" w:color="auto" w:sz="4"/>
        </w:tblBorders>
      </w:tblPr>
      <w:tblGrid>
        <w:gridCol w:w="2200"/>
        <w:gridCol w:w="2200"/>
        <w:gridCol w:w="2800"/>
        <w:gridCol w:w="2880"/>
      </w:tblGrid>
      <w:tr>
        <w:trPr>
          <w:tblHeader/>
        </w:trPr>
        <w:tc>
          <w:tcPr>
            <w:tcW w:type="dxa" w:w="2200"/>
            <w:tcBorders>
              <w:top w:val="single" w:color="AACCDD" w:sz="4"/>
              <w:left w:val="single" w:color="AACCDD" w:sz="4"/>
              <w:bottom w:val="single" w:color="AACCDD" w:sz="4"/>
              <w:right w:val="single" w:color="AACCDD" w:sz="4"/>
            </w:tcBorders>
            <w:shd w:fill="D5E8F0" w:val="clear"/>
            <w:tcMar>
              <w:top w:type="dxa" w:w="80"/>
              <w:left w:type="dxa" w:w="120"/>
              <w:bottom w:type="dxa" w:w="80"/>
              <w:right w:type="dxa" w:w="120"/>
            </w:tcMar>
            <w:vAlign w:val="center"/>
          </w:tcPr>
          <w:p>
            <w:pPr>
              <w:spacing w:after="60" w:before="60"/>
              <w:jc w:val="left"/>
            </w:pPr>
            <w:r>
              <w:rPr>
                <w:b/>
                <w:bCs/>
                <w:color w:val="1a2744"/>
                <w:sz w:val="18"/>
                <w:szCs w:val="18"/>
              </w:rPr>
              <w:t xml:space="preserve">TOP_N Tested</w:t>
            </w:r>
          </w:p>
        </w:tc>
        <w:tc>
          <w:tcPr>
            <w:tcW w:type="dxa" w:w="2200"/>
            <w:tcBorders>
              <w:top w:val="single" w:color="AACCDD" w:sz="4"/>
              <w:left w:val="single" w:color="AACCDD" w:sz="4"/>
              <w:bottom w:val="single" w:color="AACCDD" w:sz="4"/>
              <w:right w:val="single" w:color="AACCDD" w:sz="4"/>
            </w:tcBorders>
            <w:shd w:fill="D5E8F0" w:val="clear"/>
            <w:tcMar>
              <w:top w:type="dxa" w:w="80"/>
              <w:left w:type="dxa" w:w="120"/>
              <w:bottom w:type="dxa" w:w="80"/>
              <w:right w:type="dxa" w:w="120"/>
            </w:tcMar>
            <w:vAlign w:val="center"/>
          </w:tcPr>
          <w:p>
            <w:pPr>
              <w:spacing w:after="60" w:before="60"/>
              <w:jc w:val="left"/>
            </w:pPr>
            <w:r>
              <w:rPr>
                <w:b/>
                <w:bCs/>
                <w:color w:val="1a2744"/>
                <w:sz w:val="18"/>
                <w:szCs w:val="18"/>
              </w:rPr>
              <w:t xml:space="preserve">Avg OOS Sharpe</w:t>
            </w:r>
          </w:p>
        </w:tc>
        <w:tc>
          <w:tcPr>
            <w:tcW w:type="dxa" w:w="2800"/>
            <w:tcBorders>
              <w:top w:val="single" w:color="AACCDD" w:sz="4"/>
              <w:left w:val="single" w:color="AACCDD" w:sz="4"/>
              <w:bottom w:val="single" w:color="AACCDD" w:sz="4"/>
              <w:right w:val="single" w:color="AACCDD" w:sz="4"/>
            </w:tcBorders>
            <w:shd w:fill="D5E8F0" w:val="clear"/>
            <w:tcMar>
              <w:top w:type="dxa" w:w="80"/>
              <w:left w:type="dxa" w:w="120"/>
              <w:bottom w:type="dxa" w:w="80"/>
              <w:right w:type="dxa" w:w="120"/>
            </w:tcMar>
            <w:vAlign w:val="center"/>
          </w:tcPr>
          <w:p>
            <w:pPr>
              <w:spacing w:after="60" w:before="60"/>
              <w:jc w:val="left"/>
            </w:pPr>
            <w:r>
              <w:rPr>
                <w:b/>
                <w:bCs/>
                <w:color w:val="1a2744"/>
                <w:sz w:val="18"/>
                <w:szCs w:val="18"/>
              </w:rPr>
              <w:t xml:space="preserve">Worst Window</w:t>
            </w:r>
          </w:p>
        </w:tc>
        <w:tc>
          <w:tcPr>
            <w:tcW w:type="dxa" w:w="2880"/>
            <w:tcBorders>
              <w:top w:val="single" w:color="AACCDD" w:sz="4"/>
              <w:left w:val="single" w:color="AACCDD" w:sz="4"/>
              <w:bottom w:val="single" w:color="AACCDD" w:sz="4"/>
              <w:right w:val="single" w:color="AACCDD" w:sz="4"/>
            </w:tcBorders>
            <w:shd w:fill="D5E8F0" w:val="clear"/>
            <w:tcMar>
              <w:top w:type="dxa" w:w="80"/>
              <w:left w:type="dxa" w:w="120"/>
              <w:bottom w:type="dxa" w:w="80"/>
              <w:right w:type="dxa" w:w="120"/>
            </w:tcMar>
            <w:vAlign w:val="center"/>
          </w:tcPr>
          <w:p>
            <w:pPr>
              <w:spacing w:after="60" w:before="60"/>
              <w:jc w:val="left"/>
            </w:pPr>
            <w:r>
              <w:rPr>
                <w:b/>
                <w:bCs/>
                <w:color w:val="1a2744"/>
                <w:sz w:val="18"/>
                <w:szCs w:val="18"/>
              </w:rPr>
              <w:t xml:space="preserve">Verdict</w:t>
            </w:r>
          </w:p>
        </w:tc>
      </w:tr>
      <w:tr>
        <w:tc>
          <w:tcPr>
            <w:tcW w:type="dxa" w:w="2200"/>
            <w:tcBorders>
              <w:top w:val="single" w:color="AACCDD" w:sz="4"/>
              <w:left w:val="single" w:color="AACCDD" w:sz="4"/>
              <w:bottom w:val="single" w:color="AACCDD" w:sz="4"/>
              <w:right w:val="single" w:color="AACCDD" w:sz="4"/>
            </w:tcBorders>
            <w:shd w:fill="FFFFFF" w:val="clear"/>
            <w:tcMar>
              <w:top w:type="dxa" w:w="80"/>
              <w:left w:type="dxa" w:w="120"/>
              <w:bottom w:type="dxa" w:w="80"/>
              <w:right w:type="dxa" w:w="120"/>
            </w:tcMar>
            <w:vAlign w:val="center"/>
          </w:tcPr>
          <w:p>
            <w:pPr>
              <w:spacing w:after="60" w:before="60"/>
              <w:jc w:val="left"/>
            </w:pPr>
            <w:r>
              <w:rPr>
                <w:b w:val="false"/>
                <w:bCs w:val="false"/>
                <w:color w:val="333333"/>
                <w:sz w:val="18"/>
                <w:szCs w:val="18"/>
              </w:rPr>
              <w:t xml:space="preserve">TOP_N = 2</w:t>
            </w:r>
          </w:p>
        </w:tc>
        <w:tc>
          <w:tcPr>
            <w:tcW w:type="dxa" w:w="2200"/>
            <w:tcBorders>
              <w:top w:val="single" w:color="AACCDD" w:sz="4"/>
              <w:left w:val="single" w:color="AACCDD" w:sz="4"/>
              <w:bottom w:val="single" w:color="AACCDD" w:sz="4"/>
              <w:right w:val="single" w:color="AACCDD" w:sz="4"/>
            </w:tcBorders>
            <w:shd w:fill="FFFFFF" w:val="clear"/>
            <w:tcMar>
              <w:top w:type="dxa" w:w="80"/>
              <w:left w:type="dxa" w:w="120"/>
              <w:bottom w:type="dxa" w:w="80"/>
              <w:right w:type="dxa" w:w="120"/>
            </w:tcMar>
            <w:vAlign w:val="center"/>
          </w:tcPr>
          <w:p>
            <w:pPr>
              <w:spacing w:after="60" w:before="60"/>
              <w:jc w:val="left"/>
            </w:pPr>
            <w:r>
              <w:rPr>
                <w:b w:val="false"/>
                <w:bCs w:val="false"/>
                <w:color w:val="333333"/>
                <w:sz w:val="18"/>
                <w:szCs w:val="18"/>
              </w:rPr>
              <w:t xml:space="preserve">1.856</w:t>
            </w:r>
          </w:p>
        </w:tc>
        <w:tc>
          <w:tcPr>
            <w:tcW w:type="dxa" w:w="2800"/>
            <w:tcBorders>
              <w:top w:val="single" w:color="AACCDD" w:sz="4"/>
              <w:left w:val="single" w:color="AACCDD" w:sz="4"/>
              <w:bottom w:val="single" w:color="AACCDD" w:sz="4"/>
              <w:right w:val="single" w:color="AACCDD" w:sz="4"/>
            </w:tcBorders>
            <w:shd w:fill="FFFFFF" w:val="clear"/>
            <w:tcMar>
              <w:top w:type="dxa" w:w="80"/>
              <w:left w:type="dxa" w:w="120"/>
              <w:bottom w:type="dxa" w:w="80"/>
              <w:right w:type="dxa" w:w="120"/>
            </w:tcMar>
            <w:vAlign w:val="center"/>
          </w:tcPr>
          <w:p>
            <w:pPr>
              <w:spacing w:after="60" w:before="60"/>
              <w:jc w:val="left"/>
            </w:pPr>
            <w:r>
              <w:rPr>
                <w:b w:val="false"/>
                <w:bCs w:val="false"/>
                <w:color w:val="333333"/>
                <w:sz w:val="18"/>
                <w:szCs w:val="18"/>
              </w:rPr>
              <w:t xml:space="preserve">W4: 0.00 (catastrophic)</w:t>
            </w:r>
          </w:p>
        </w:tc>
        <w:tc>
          <w:tcPr>
            <w:tcW w:type="dxa" w:w="2880"/>
            <w:tcBorders>
              <w:top w:val="single" w:color="AACCDD" w:sz="4"/>
              <w:left w:val="single" w:color="AACCDD" w:sz="4"/>
              <w:bottom w:val="single" w:color="AACCDD" w:sz="4"/>
              <w:right w:val="single" w:color="AACCDD" w:sz="4"/>
            </w:tcBorders>
            <w:shd w:fill="FFFFFF" w:val="clear"/>
            <w:tcMar>
              <w:top w:type="dxa" w:w="80"/>
              <w:left w:type="dxa" w:w="120"/>
              <w:bottom w:type="dxa" w:w="80"/>
              <w:right w:type="dxa" w:w="120"/>
            </w:tcMar>
            <w:vAlign w:val="center"/>
          </w:tcPr>
          <w:p>
            <w:pPr>
              <w:spacing w:after="60" w:before="60"/>
              <w:jc w:val="left"/>
            </w:pPr>
            <w:r>
              <w:rPr>
                <w:b w:val="false"/>
                <w:bCs w:val="false"/>
                <w:color w:val="333333"/>
                <w:sz w:val="18"/>
                <w:szCs w:val="18"/>
              </w:rPr>
              <w:t xml:space="preserve">REJECTED</w:t>
            </w:r>
          </w:p>
        </w:tc>
      </w:tr>
      <w:tr>
        <w:tc>
          <w:tcPr>
            <w:tcW w:type="dxa" w:w="2200"/>
            <w:tcBorders>
              <w:top w:val="single" w:color="AACCDD" w:sz="4"/>
              <w:left w:val="single" w:color="AACCDD" w:sz="4"/>
              <w:bottom w:val="single" w:color="AACCDD" w:sz="4"/>
              <w:right w:val="single" w:color="AACCDD" w:sz="4"/>
            </w:tcBorders>
            <w:shd w:fill="EEF5F9" w:val="clear"/>
            <w:tcMar>
              <w:top w:type="dxa" w:w="80"/>
              <w:left w:type="dxa" w:w="120"/>
              <w:bottom w:type="dxa" w:w="80"/>
              <w:right w:type="dxa" w:w="120"/>
            </w:tcMar>
            <w:vAlign w:val="center"/>
          </w:tcPr>
          <w:p>
            <w:pPr>
              <w:spacing w:after="60" w:before="60"/>
              <w:jc w:val="left"/>
            </w:pPr>
            <w:r>
              <w:rPr>
                <w:b/>
                <w:bCs/>
                <w:color w:val="333333"/>
                <w:sz w:val="18"/>
                <w:szCs w:val="18"/>
              </w:rPr>
              <w:t xml:space="preserve">TOP_N = 3 (selected)</w:t>
            </w:r>
          </w:p>
        </w:tc>
        <w:tc>
          <w:tcPr>
            <w:tcW w:type="dxa" w:w="2200"/>
            <w:tcBorders>
              <w:top w:val="single" w:color="AACCDD" w:sz="4"/>
              <w:left w:val="single" w:color="AACCDD" w:sz="4"/>
              <w:bottom w:val="single" w:color="AACCDD" w:sz="4"/>
              <w:right w:val="single" w:color="AACCDD" w:sz="4"/>
            </w:tcBorders>
            <w:shd w:fill="EEF5F9" w:val="clear"/>
            <w:tcMar>
              <w:top w:type="dxa" w:w="80"/>
              <w:left w:type="dxa" w:w="120"/>
              <w:bottom w:type="dxa" w:w="80"/>
              <w:right w:type="dxa" w:w="120"/>
            </w:tcMar>
            <w:vAlign w:val="center"/>
          </w:tcPr>
          <w:p>
            <w:pPr>
              <w:spacing w:after="60" w:before="60"/>
              <w:jc w:val="left"/>
            </w:pPr>
            <w:r>
              <w:rPr>
                <w:b/>
                <w:bCs/>
                <w:color w:val="333333"/>
                <w:sz w:val="18"/>
                <w:szCs w:val="18"/>
              </w:rPr>
              <w:t xml:space="preserve">1.70</w:t>
            </w:r>
          </w:p>
        </w:tc>
        <w:tc>
          <w:tcPr>
            <w:tcW w:type="dxa" w:w="2800"/>
            <w:tcBorders>
              <w:top w:val="single" w:color="AACCDD" w:sz="4"/>
              <w:left w:val="single" w:color="AACCDD" w:sz="4"/>
              <w:bottom w:val="single" w:color="AACCDD" w:sz="4"/>
              <w:right w:val="single" w:color="AACCDD" w:sz="4"/>
            </w:tcBorders>
            <w:shd w:fill="EEF5F9" w:val="clear"/>
            <w:tcMar>
              <w:top w:type="dxa" w:w="80"/>
              <w:left w:type="dxa" w:w="120"/>
              <w:bottom w:type="dxa" w:w="80"/>
              <w:right w:type="dxa" w:w="120"/>
            </w:tcMar>
            <w:vAlign w:val="center"/>
          </w:tcPr>
          <w:p>
            <w:pPr>
              <w:spacing w:after="60" w:before="60"/>
              <w:jc w:val="left"/>
            </w:pPr>
            <w:r>
              <w:rPr>
                <w:b w:val="false"/>
                <w:bCs w:val="false"/>
                <w:color w:val="333333"/>
                <w:sz w:val="18"/>
                <w:szCs w:val="18"/>
              </w:rPr>
              <w:t xml:space="preserve">W3: 1.97 (still positive)</w:t>
            </w:r>
          </w:p>
        </w:tc>
        <w:tc>
          <w:tcPr>
            <w:tcW w:type="dxa" w:w="2880"/>
            <w:tcBorders>
              <w:top w:val="single" w:color="AACCDD" w:sz="4"/>
              <w:left w:val="single" w:color="AACCDD" w:sz="4"/>
              <w:bottom w:val="single" w:color="AACCDD" w:sz="4"/>
              <w:right w:val="single" w:color="AACCDD" w:sz="4"/>
            </w:tcBorders>
            <w:shd w:fill="EEF5F9" w:val="clear"/>
            <w:tcMar>
              <w:top w:type="dxa" w:w="80"/>
              <w:left w:type="dxa" w:w="120"/>
              <w:bottom w:type="dxa" w:w="80"/>
              <w:right w:type="dxa" w:w="120"/>
            </w:tcMar>
            <w:vAlign w:val="center"/>
          </w:tcPr>
          <w:p>
            <w:pPr>
              <w:spacing w:after="60" w:before="60"/>
              <w:jc w:val="left"/>
            </w:pPr>
            <w:r>
              <w:rPr>
                <w:b/>
                <w:bCs/>
                <w:color w:val="333333"/>
                <w:sz w:val="18"/>
                <w:szCs w:val="18"/>
              </w:rPr>
              <w:t xml:space="preserve">SELECTED</w:t>
            </w:r>
          </w:p>
        </w:tc>
      </w:tr>
      <w:tr>
        <w:tc>
          <w:tcPr>
            <w:tcW w:type="dxa" w:w="2200"/>
            <w:tcBorders>
              <w:top w:val="single" w:color="AACCDD" w:sz="4"/>
              <w:left w:val="single" w:color="AACCDD" w:sz="4"/>
              <w:bottom w:val="single" w:color="AACCDD" w:sz="4"/>
              <w:right w:val="single" w:color="AACCDD" w:sz="4"/>
            </w:tcBorders>
            <w:shd w:fill="FFFFFF" w:val="clear"/>
            <w:tcMar>
              <w:top w:type="dxa" w:w="80"/>
              <w:left w:type="dxa" w:w="120"/>
              <w:bottom w:type="dxa" w:w="80"/>
              <w:right w:type="dxa" w:w="120"/>
            </w:tcMar>
            <w:vAlign w:val="center"/>
          </w:tcPr>
          <w:p>
            <w:pPr>
              <w:spacing w:after="60" w:before="60"/>
              <w:jc w:val="left"/>
            </w:pPr>
            <w:r>
              <w:rPr>
                <w:b w:val="false"/>
                <w:bCs w:val="false"/>
                <w:color w:val="333333"/>
                <w:sz w:val="18"/>
                <w:szCs w:val="18"/>
              </w:rPr>
              <w:t xml:space="preserve">TOP_N = 6 (prior)</w:t>
            </w:r>
          </w:p>
        </w:tc>
        <w:tc>
          <w:tcPr>
            <w:tcW w:type="dxa" w:w="2200"/>
            <w:tcBorders>
              <w:top w:val="single" w:color="AACCDD" w:sz="4"/>
              <w:left w:val="single" w:color="AACCDD" w:sz="4"/>
              <w:bottom w:val="single" w:color="AACCDD" w:sz="4"/>
              <w:right w:val="single" w:color="AACCDD" w:sz="4"/>
            </w:tcBorders>
            <w:shd w:fill="FFFFFF" w:val="clear"/>
            <w:tcMar>
              <w:top w:type="dxa" w:w="80"/>
              <w:left w:type="dxa" w:w="120"/>
              <w:bottom w:type="dxa" w:w="80"/>
              <w:right w:type="dxa" w:w="120"/>
            </w:tcMar>
            <w:vAlign w:val="center"/>
          </w:tcPr>
          <w:p>
            <w:pPr>
              <w:spacing w:after="60" w:before="60"/>
              <w:jc w:val="left"/>
            </w:pPr>
            <w:r>
              <w:rPr>
                <w:b w:val="false"/>
                <w:bCs w:val="false"/>
                <w:color w:val="333333"/>
                <w:sz w:val="18"/>
                <w:szCs w:val="18"/>
              </w:rPr>
              <w:t xml:space="preserve">2.33</w:t>
            </w:r>
          </w:p>
        </w:tc>
        <w:tc>
          <w:tcPr>
            <w:tcW w:type="dxa" w:w="2800"/>
            <w:tcBorders>
              <w:top w:val="single" w:color="AACCDD" w:sz="4"/>
              <w:left w:val="single" w:color="AACCDD" w:sz="4"/>
              <w:bottom w:val="single" w:color="AACCDD" w:sz="4"/>
              <w:right w:val="single" w:color="AACCDD" w:sz="4"/>
            </w:tcBorders>
            <w:shd w:fill="FFFFFF" w:val="clear"/>
            <w:tcMar>
              <w:top w:type="dxa" w:w="80"/>
              <w:left w:type="dxa" w:w="120"/>
              <w:bottom w:type="dxa" w:w="80"/>
              <w:right w:type="dxa" w:w="120"/>
            </w:tcMar>
            <w:vAlign w:val="center"/>
          </w:tcPr>
          <w:p>
            <w:pPr>
              <w:spacing w:after="60" w:before="60"/>
              <w:jc w:val="left"/>
            </w:pPr>
            <w:r>
              <w:rPr>
                <w:b w:val="false"/>
                <w:bCs w:val="false"/>
                <w:color w:val="333333"/>
                <w:sz w:val="18"/>
                <w:szCs w:val="18"/>
              </w:rPr>
              <w:t xml:space="preserve">W2: 0.49</w:t>
            </w:r>
          </w:p>
        </w:tc>
        <w:tc>
          <w:tcPr>
            <w:tcW w:type="dxa" w:w="2880"/>
            <w:tcBorders>
              <w:top w:val="single" w:color="AACCDD" w:sz="4"/>
              <w:left w:val="single" w:color="AACCDD" w:sz="4"/>
              <w:bottom w:val="single" w:color="AACCDD" w:sz="4"/>
              <w:right w:val="single" w:color="AACCDD" w:sz="4"/>
            </w:tcBorders>
            <w:shd w:fill="FFFFFF" w:val="clear"/>
            <w:tcMar>
              <w:top w:type="dxa" w:w="80"/>
              <w:left w:type="dxa" w:w="120"/>
              <w:bottom w:type="dxa" w:w="80"/>
              <w:right w:type="dxa" w:w="120"/>
            </w:tcMar>
            <w:vAlign w:val="center"/>
          </w:tcPr>
          <w:p>
            <w:pPr>
              <w:spacing w:after="60" w:before="60"/>
              <w:jc w:val="left"/>
            </w:pPr>
            <w:r>
              <w:rPr>
                <w:b w:val="false"/>
                <w:bCs w:val="false"/>
                <w:color w:val="333333"/>
                <w:sz w:val="18"/>
                <w:szCs w:val="18"/>
              </w:rPr>
              <w:t xml:space="preserve">REJECTED</w:t>
            </w:r>
          </w:p>
        </w:tc>
      </w:tr>
    </w:tbl>
    <w:p>
      <w:pPr>
        <w:spacing w:after="80" w:before="0"/>
      </w:pPr>
    </w:p>
    <w:p>
      <w:pPr>
        <w:spacing w:after="60" w:before="60"/>
        <w:jc w:val="left"/>
      </w:pPr>
      <w:r>
        <w:rPr>
          <w:b w:val="false"/>
          <w:bCs w:val="false"/>
          <w:i w:val="false"/>
          <w:iCs w:val="false"/>
          <w:color w:val="333333"/>
          <w:sz w:val="20"/>
          <w:szCs w:val="20"/>
        </w:rPr>
        <w:t xml:space="preserve">Why TOP_N=3 wins: All 5 windows positive, highest average OOS Sharpe, no catastrophic failure.</w:t>
      </w:r>
    </w:p>
    <w:p>
      <w:pPr>
        <w:spacing w:after="60" w:before="60"/>
        <w:jc w:val="left"/>
      </w:pPr>
      <w:r>
        <w:rPr>
          <w:b w:val="false"/>
          <w:bCs w:val="false"/>
          <w:i w:val="false"/>
          <w:iCs w:val="false"/>
          <w:color w:val="333333"/>
          <w:sz w:val="20"/>
          <w:szCs w:val="20"/>
        </w:rPr>
        <w:t xml:space="preserve">Why TOP_N=2 was rejected: 2023 was a narrow AI-driven rally — holding only 2 stocks caused catastrophic failure when one failed.</w:t>
      </w:r>
    </w:p>
    <w:p>
      <w:pPr>
        <w:spacing w:after="60" w:before="60"/>
        <w:jc w:val="left"/>
      </w:pPr>
      <w:r>
        <w:rPr>
          <w:b/>
          <w:bCs/>
          <w:i w:val="false"/>
          <w:iCs w:val="false"/>
          <w:color w:val="1a2744"/>
          <w:sz w:val="20"/>
          <w:szCs w:val="20"/>
        </w:rPr>
        <w:t xml:space="preserve">This REJECTION of TOP_N=2 is a robustness signal: we found the failure mode and avoided it.</w:t>
      </w:r>
    </w:p>
    <w:p>
      <w:pPr>
        <w:spacing w:after="120" w:before="0"/>
      </w:pPr>
    </w:p>
    <w:p>
      <w:pPr>
        <w:pStyle w:val="Heading2"/>
        <w:pBdr>
          <w:bottom w:val="single" w:color="2C4A8C" w:sz="6"/>
        </w:pBdr>
        <w:spacing w:after="100" w:before="200"/>
      </w:pPr>
      <w:r>
        <w:rPr>
          <w:b/>
          <w:bCs/>
          <w:color w:val="1a2744"/>
          <w:sz w:val="24"/>
          <w:szCs w:val="24"/>
        </w:rPr>
        <w:t xml:space="preserve">3.4  Market Environment Coverage</w:t>
      </w:r>
    </w:p>
    <w:p>
      <w:pPr>
        <w:spacing w:after="60" w:before="60"/>
        <w:jc w:val="left"/>
      </w:pPr>
      <w:r>
        <w:rPr>
          <w:b w:val="false"/>
          <w:bCs w:val="false"/>
          <w:i w:val="false"/>
          <w:iCs w:val="false"/>
          <w:color w:val="333333"/>
          <w:sz w:val="20"/>
          <w:szCs w:val="20"/>
        </w:rPr>
        <w:t xml:space="preserve">All major market regimes from 2020-2026 were covered in OOS testing:</w:t>
      </w:r>
    </w:p>
    <w:p>
      <w:pPr>
        <w:spacing w:after="40" w:before="0"/>
      </w:pPr>
    </w:p>
    <w:p>
      <w:pPr>
        <w:pStyle w:val="ListParagraph"/>
        <w:numPr>
          <w:ilvl w:val="0"/>
          <w:numId w:val="2"/>
        </w:numPr>
        <w:spacing w:after="40" w:before="40"/>
      </w:pPr>
      <w:r>
        <w:rPr>
          <w:b w:val="false"/>
          <w:bCs w:val="false"/>
          <w:color w:val="333333"/>
          <w:sz w:val="20"/>
          <w:szCs w:val="20"/>
        </w:rPr>
        <w:t xml:space="preserve">COVID Crash (W1 2020): Extreme volatility, market down 35% then rapid recovery — OOS Sharpe: 1.98</w:t>
      </w:r>
    </w:p>
    <w:p>
      <w:pPr>
        <w:pStyle w:val="ListParagraph"/>
        <w:numPr>
          <w:ilvl w:val="0"/>
          <w:numId w:val="2"/>
        </w:numPr>
        <w:spacing w:after="40" w:before="40"/>
      </w:pPr>
      <w:r>
        <w:rPr>
          <w:b w:val="false"/>
          <w:bCs w:val="false"/>
          <w:color w:val="333333"/>
          <w:sz w:val="20"/>
          <w:szCs w:val="20"/>
        </w:rPr>
        <w:t xml:space="preserve">FOMO Bull (W2 2021): Retail mania, meme stocks, low-quality stocks outperforming — OOS Sharpe: 2.99</w:t>
      </w:r>
    </w:p>
    <w:p>
      <w:pPr>
        <w:pStyle w:val="ListParagraph"/>
        <w:numPr>
          <w:ilvl w:val="0"/>
          <w:numId w:val="2"/>
        </w:numPr>
        <w:spacing w:after="40" w:before="40"/>
      </w:pPr>
      <w:r>
        <w:rPr>
          <w:b w:val="false"/>
          <w:bCs w:val="false"/>
          <w:color w:val="333333"/>
          <w:sz w:val="20"/>
          <w:szCs w:val="20"/>
        </w:rPr>
        <w:t xml:space="preserve">Fed Bear (W3 2022): Fastest rate hiking cycle in 40 years, S&amp;P -20% — OOS Sharpe: 1.97</w:t>
      </w:r>
    </w:p>
    <w:p>
      <w:pPr>
        <w:pStyle w:val="ListParagraph"/>
        <w:numPr>
          <w:ilvl w:val="0"/>
          <w:numId w:val="2"/>
        </w:numPr>
        <w:spacing w:after="40" w:before="40"/>
      </w:pPr>
      <w:r>
        <w:rPr>
          <w:b w:val="false"/>
          <w:bCs w:val="false"/>
          <w:color w:val="333333"/>
          <w:sz w:val="20"/>
          <w:szCs w:val="20"/>
        </w:rPr>
        <w:t xml:space="preserve">AI Recovery (W4 2023): Narrow AI-led rally, only top names outperformed — OOS Sharpe: 3.27</w:t>
      </w:r>
    </w:p>
    <w:p>
      <w:pPr>
        <w:pStyle w:val="ListParagraph"/>
        <w:numPr>
          <w:ilvl w:val="0"/>
          <w:numId w:val="2"/>
        </w:numPr>
        <w:spacing w:after="40" w:before="40"/>
      </w:pPr>
      <w:r>
        <w:rPr>
          <w:b w:val="false"/>
          <w:bCs w:val="false"/>
          <w:color w:val="333333"/>
          <w:sz w:val="20"/>
          <w:szCs w:val="20"/>
        </w:rPr>
        <w:t xml:space="preserve">AI Bull (W5 2024): Broad market advance, AI adoption mainstream — OOS Sharpe: 3.73</w:t>
      </w:r>
    </w:p>
    <w:p>
      <w:pPr>
        <w:spacing w:after="80" w:before="0"/>
      </w:pPr>
    </w:p>
    <w:p>
      <w:pPr>
        <w:spacing w:after="60" w:before="60"/>
        <w:jc w:val="left"/>
      </w:pPr>
      <w:r>
        <w:rPr>
          <w:b/>
          <w:bCs/>
          <w:i w:val="false"/>
          <w:iCs w:val="false"/>
          <w:color w:val="1a2744"/>
          <w:sz w:val="20"/>
          <w:szCs w:val="20"/>
        </w:rPr>
        <w:t xml:space="preserve">No cherry-picking. All regimes tested. All windows positive.</w:t>
      </w:r>
    </w:p>
    <w:p>
      <w:pPr>
        <w:spacing w:after="80" w:before="0"/>
      </w:pPr>
    </w:p>
    <w:p>
      <w:r>
        <w:br w:type="page"/>
      </w:r>
    </w:p>
    <w:p>
      <w:pPr>
        <w:pStyle w:val="Heading1"/>
        <w:shd w:fill="1a2744" w:val="clear"/>
        <w:spacing w:after="160" w:before="280"/>
      </w:pPr>
      <w:r>
        <w:rPr>
          <w:b/>
          <w:bCs/>
          <w:color w:val="FFFFFF"/>
          <w:sz w:val="32"/>
          <w:szCs w:val="32"/>
        </w:rPr>
        <w:t xml:space="preserve">SECTION 4: MEAN REVERSION STRATEGY — RESULTS</w:t>
      </w:r>
    </w:p>
    <w:p>
      <w:pPr>
        <w:spacing w:after="80" w:before="0"/>
      </w:pPr>
    </w:p>
    <w:p>
      <w:pPr>
        <w:pStyle w:val="Heading2"/>
        <w:pBdr>
          <w:bottom w:val="single" w:color="2C4A8C" w:sz="6"/>
        </w:pBdr>
        <w:spacing w:after="100" w:before="200"/>
      </w:pPr>
      <w:r>
        <w:rPr>
          <w:b/>
          <w:bCs/>
          <w:color w:val="1a2744"/>
          <w:sz w:val="24"/>
          <w:szCs w:val="24"/>
        </w:rPr>
        <w:t xml:space="preserve">4.1  Strategy Description</w:t>
      </w:r>
    </w:p>
    <w:p>
      <w:pPr>
        <w:spacing w:after="60" w:before="60"/>
        <w:jc w:val="left"/>
      </w:pPr>
      <w:r>
        <w:rPr>
          <w:b w:val="false"/>
          <w:bCs w:val="false"/>
          <w:i w:val="false"/>
          <w:iCs w:val="false"/>
          <w:color w:val="333333"/>
          <w:sz w:val="20"/>
          <w:szCs w:val="20"/>
        </w:rPr>
        <w:t xml:space="preserve">The Mean Reversion (MR) strategy is a short-term counter-trend strategy, activated primarily in Bull and Choppy regimes where stocks show temporary oversold dislocations.</w:t>
      </w:r>
    </w:p>
    <w:p>
      <w:pPr>
        <w:spacing w:after="80" w:before="0"/>
      </w:pPr>
    </w:p>
    <w:p>
      <w:pPr>
        <w:spacing w:after="60" w:before="60"/>
        <w:jc w:val="left"/>
      </w:pPr>
      <w:r>
        <w:rPr>
          <w:b/>
          <w:bCs/>
          <w:i w:val="false"/>
          <w:iCs w:val="false"/>
          <w:color w:val="333333"/>
          <w:sz w:val="20"/>
          <w:szCs w:val="20"/>
        </w:rPr>
        <w:t xml:space="preserve">Entry Conditions (ALL must be met):</w:t>
      </w:r>
    </w:p>
    <w:p>
      <w:pPr>
        <w:pStyle w:val="ListParagraph"/>
        <w:numPr>
          <w:ilvl w:val="0"/>
          <w:numId w:val="2"/>
        </w:numPr>
        <w:spacing w:after="40" w:before="40"/>
      </w:pPr>
      <w:r>
        <w:rPr>
          <w:b w:val="false"/>
          <w:bCs w:val="false"/>
          <w:color w:val="333333"/>
          <w:sz w:val="20"/>
          <w:szCs w:val="20"/>
        </w:rPr>
        <w:t xml:space="preserve">RSI &lt; 28 (oversold threshold, Walk-Forward validated)</w:t>
      </w:r>
    </w:p>
    <w:p>
      <w:pPr>
        <w:pStyle w:val="ListParagraph"/>
        <w:numPr>
          <w:ilvl w:val="0"/>
          <w:numId w:val="2"/>
        </w:numPr>
        <w:spacing w:after="40" w:before="40"/>
      </w:pPr>
      <w:r>
        <w:rPr>
          <w:b w:val="false"/>
          <w:bCs w:val="false"/>
          <w:color w:val="333333"/>
          <w:sz w:val="20"/>
          <w:szCs w:val="20"/>
        </w:rPr>
        <w:t xml:space="preserve">Bollinger Band position &lt; 5% (near lower band)</w:t>
      </w:r>
    </w:p>
    <w:p>
      <w:pPr>
        <w:pStyle w:val="ListParagraph"/>
        <w:numPr>
          <w:ilvl w:val="0"/>
          <w:numId w:val="2"/>
        </w:numPr>
        <w:spacing w:after="40" w:before="40"/>
      </w:pPr>
      <w:r>
        <w:rPr>
          <w:b w:val="false"/>
          <w:bCs w:val="false"/>
          <w:color w:val="333333"/>
          <w:sz w:val="20"/>
          <w:szCs w:val="20"/>
        </w:rPr>
        <w:t xml:space="preserve">Volume &gt; 1.5x 20-day average (capitulation volume)</w:t>
      </w:r>
    </w:p>
    <w:p>
      <w:pPr>
        <w:spacing w:after="80" w:before="0"/>
      </w:pPr>
    </w:p>
    <w:p>
      <w:pPr>
        <w:spacing w:after="60" w:before="60"/>
        <w:jc w:val="left"/>
      </w:pPr>
      <w:r>
        <w:rPr>
          <w:b/>
          <w:bCs/>
          <w:i w:val="false"/>
          <w:iCs w:val="false"/>
          <w:color w:val="333333"/>
          <w:sz w:val="20"/>
          <w:szCs w:val="20"/>
        </w:rPr>
        <w:t xml:space="preserve">Exit Conditions (ANY triggers exit):</w:t>
      </w:r>
    </w:p>
    <w:p>
      <w:pPr>
        <w:pStyle w:val="ListParagraph"/>
        <w:numPr>
          <w:ilvl w:val="0"/>
          <w:numId w:val="2"/>
        </w:numPr>
        <w:spacing w:after="40" w:before="40"/>
      </w:pPr>
      <w:r>
        <w:rPr>
          <w:b w:val="false"/>
          <w:bCs w:val="false"/>
          <w:color w:val="333333"/>
          <w:sz w:val="20"/>
          <w:szCs w:val="20"/>
        </w:rPr>
        <w:t xml:space="preserve">RSI &gt; 55 (recovered)</w:t>
      </w:r>
    </w:p>
    <w:p>
      <w:pPr>
        <w:pStyle w:val="ListParagraph"/>
        <w:numPr>
          <w:ilvl w:val="0"/>
          <w:numId w:val="2"/>
        </w:numPr>
        <w:spacing w:after="40" w:before="40"/>
      </w:pPr>
      <w:r>
        <w:rPr>
          <w:b w:val="false"/>
          <w:bCs w:val="false"/>
          <w:color w:val="333333"/>
          <w:sz w:val="20"/>
          <w:szCs w:val="20"/>
        </w:rPr>
        <w:t xml:space="preserve">Price returns to Bollinger Band mid-line</w:t>
      </w:r>
    </w:p>
    <w:p>
      <w:pPr>
        <w:pStyle w:val="ListParagraph"/>
        <w:numPr>
          <w:ilvl w:val="0"/>
          <w:numId w:val="2"/>
        </w:numPr>
        <w:spacing w:after="40" w:before="40"/>
      </w:pPr>
      <w:r>
        <w:rPr>
          <w:b w:val="false"/>
          <w:bCs w:val="false"/>
          <w:color w:val="333333"/>
          <w:sz w:val="20"/>
          <w:szCs w:val="20"/>
        </w:rPr>
        <w:t xml:space="preserve">Maximum hold: 8 days</w:t>
      </w:r>
    </w:p>
    <w:p>
      <w:pPr>
        <w:pStyle w:val="ListParagraph"/>
        <w:numPr>
          <w:ilvl w:val="0"/>
          <w:numId w:val="2"/>
        </w:numPr>
        <w:spacing w:after="40" w:before="40"/>
      </w:pPr>
      <w:r>
        <w:rPr>
          <w:b w:val="false"/>
          <w:bCs w:val="false"/>
          <w:color w:val="333333"/>
          <w:sz w:val="20"/>
          <w:szCs w:val="20"/>
        </w:rPr>
        <w:t xml:space="preserve">ATR Stop: 2.0x ATR</w:t>
      </w:r>
    </w:p>
    <w:p>
      <w:pPr>
        <w:spacing w:after="120" w:before="0"/>
      </w:pPr>
    </w:p>
    <w:p>
      <w:pPr>
        <w:pStyle w:val="Heading2"/>
        <w:pBdr>
          <w:bottom w:val="single" w:color="2C4A8C" w:sz="6"/>
        </w:pBdr>
        <w:spacing w:after="100" w:before="200"/>
      </w:pPr>
      <w:r>
        <w:rPr>
          <w:b/>
          <w:bCs/>
          <w:color w:val="1a2744"/>
          <w:sz w:val="24"/>
          <w:szCs w:val="24"/>
        </w:rPr>
        <w:t xml:space="preserve">4.2  Walk-Forward Results</w:t>
      </w:r>
    </w:p>
    <w:p>
      <w:pPr>
        <w:spacing w:after="60" w:before="0"/>
      </w:pPr>
    </w:p>
    <w:tbl>
      <w:tblPr>
        <w:tblW w:type="dxa" w:w="10080"/>
        <w:tblBorders>
          <w:top w:val="single" w:color="AACCDD" w:sz="4"/>
          <w:left w:val="single" w:color="AACCDD" w:sz="4"/>
          <w:bottom w:val="single" w:color="AACCDD" w:sz="4"/>
          <w:right w:val="single" w:color="AACCDD" w:sz="4"/>
          <w:insideH w:val="single" w:color="auto" w:sz="4"/>
          <w:insideV w:val="single" w:color="auto" w:sz="4"/>
        </w:tblBorders>
      </w:tblPr>
      <w:tblGrid>
        <w:gridCol w:w="1200"/>
        <w:gridCol w:w="1200"/>
        <w:gridCol w:w="3800"/>
        <w:gridCol w:w="3880"/>
      </w:tblGrid>
      <w:tr>
        <w:trPr>
          <w:tblHeader/>
        </w:trPr>
        <w:tc>
          <w:tcPr>
            <w:tcW w:type="dxa" w:w="1200"/>
            <w:tcBorders>
              <w:top w:val="single" w:color="AACCDD" w:sz="4"/>
              <w:left w:val="single" w:color="AACCDD" w:sz="4"/>
              <w:bottom w:val="single" w:color="AACCDD" w:sz="4"/>
              <w:right w:val="single" w:color="AACCDD" w:sz="4"/>
            </w:tcBorders>
            <w:shd w:fill="D5E8F0" w:val="clear"/>
            <w:tcMar>
              <w:top w:type="dxa" w:w="80"/>
              <w:left w:type="dxa" w:w="120"/>
              <w:bottom w:type="dxa" w:w="80"/>
              <w:right w:type="dxa" w:w="120"/>
            </w:tcMar>
            <w:vAlign w:val="center"/>
          </w:tcPr>
          <w:p>
            <w:pPr>
              <w:spacing w:after="60" w:before="60"/>
              <w:jc w:val="left"/>
            </w:pPr>
            <w:r>
              <w:rPr>
                <w:b/>
                <w:bCs/>
                <w:color w:val="1a2744"/>
                <w:sz w:val="18"/>
                <w:szCs w:val="18"/>
              </w:rPr>
              <w:t xml:space="preserve">Window</w:t>
            </w:r>
          </w:p>
        </w:tc>
        <w:tc>
          <w:tcPr>
            <w:tcW w:type="dxa" w:w="1200"/>
            <w:tcBorders>
              <w:top w:val="single" w:color="AACCDD" w:sz="4"/>
              <w:left w:val="single" w:color="AACCDD" w:sz="4"/>
              <w:bottom w:val="single" w:color="AACCDD" w:sz="4"/>
              <w:right w:val="single" w:color="AACCDD" w:sz="4"/>
            </w:tcBorders>
            <w:shd w:fill="D5E8F0" w:val="clear"/>
            <w:tcMar>
              <w:top w:type="dxa" w:w="80"/>
              <w:left w:type="dxa" w:w="120"/>
              <w:bottom w:type="dxa" w:w="80"/>
              <w:right w:type="dxa" w:w="120"/>
            </w:tcMar>
            <w:vAlign w:val="center"/>
          </w:tcPr>
          <w:p>
            <w:pPr>
              <w:spacing w:after="60" w:before="60"/>
              <w:jc w:val="left"/>
            </w:pPr>
            <w:r>
              <w:rPr>
                <w:b/>
                <w:bCs/>
                <w:color w:val="1a2744"/>
                <w:sz w:val="18"/>
                <w:szCs w:val="18"/>
              </w:rPr>
              <w:t xml:space="preserve">Test Period</w:t>
            </w:r>
          </w:p>
        </w:tc>
        <w:tc>
          <w:tcPr>
            <w:tcW w:type="dxa" w:w="3800"/>
            <w:tcBorders>
              <w:top w:val="single" w:color="AACCDD" w:sz="4"/>
              <w:left w:val="single" w:color="AACCDD" w:sz="4"/>
              <w:bottom w:val="single" w:color="AACCDD" w:sz="4"/>
              <w:right w:val="single" w:color="AACCDD" w:sz="4"/>
            </w:tcBorders>
            <w:shd w:fill="D5E8F0" w:val="clear"/>
            <w:tcMar>
              <w:top w:type="dxa" w:w="80"/>
              <w:left w:type="dxa" w:w="120"/>
              <w:bottom w:type="dxa" w:w="80"/>
              <w:right w:type="dxa" w:w="120"/>
            </w:tcMar>
            <w:vAlign w:val="center"/>
          </w:tcPr>
          <w:p>
            <w:pPr>
              <w:spacing w:after="60" w:before="60"/>
              <w:jc w:val="left"/>
            </w:pPr>
            <w:r>
              <w:rPr>
                <w:b/>
                <w:bCs/>
                <w:color w:val="1a2744"/>
                <w:sz w:val="18"/>
                <w:szCs w:val="18"/>
              </w:rPr>
              <w:t xml:space="preserve">Optimised RSI Threshold</w:t>
            </w:r>
          </w:p>
        </w:tc>
        <w:tc>
          <w:tcPr>
            <w:tcW w:type="dxa" w:w="3880"/>
            <w:tcBorders>
              <w:top w:val="single" w:color="AACCDD" w:sz="4"/>
              <w:left w:val="single" w:color="AACCDD" w:sz="4"/>
              <w:bottom w:val="single" w:color="AACCDD" w:sz="4"/>
              <w:right w:val="single" w:color="AACCDD" w:sz="4"/>
            </w:tcBorders>
            <w:shd w:fill="D5E8F0" w:val="clear"/>
            <w:tcMar>
              <w:top w:type="dxa" w:w="80"/>
              <w:left w:type="dxa" w:w="120"/>
              <w:bottom w:type="dxa" w:w="80"/>
              <w:right w:type="dxa" w:w="120"/>
            </w:tcMar>
            <w:vAlign w:val="center"/>
          </w:tcPr>
          <w:p>
            <w:pPr>
              <w:spacing w:after="60" w:before="60"/>
              <w:jc w:val="left"/>
            </w:pPr>
            <w:r>
              <w:rPr>
                <w:b/>
                <w:bCs/>
                <w:color w:val="1a2744"/>
                <w:sz w:val="18"/>
                <w:szCs w:val="18"/>
              </w:rPr>
              <w:t xml:space="preserve">OOS Sharpe</w:t>
            </w:r>
          </w:p>
        </w:tc>
      </w:tr>
      <w:tr>
        <w:tc>
          <w:tcPr>
            <w:tcW w:type="dxa" w:w="1200"/>
            <w:tcBorders>
              <w:top w:val="single" w:color="AACCDD" w:sz="4"/>
              <w:left w:val="single" w:color="AACCDD" w:sz="4"/>
              <w:bottom w:val="single" w:color="AACCDD" w:sz="4"/>
              <w:right w:val="single" w:color="AACCDD" w:sz="4"/>
            </w:tcBorders>
            <w:shd w:fill="FFFFFF" w:val="clear"/>
            <w:tcMar>
              <w:top w:type="dxa" w:w="80"/>
              <w:left w:type="dxa" w:w="120"/>
              <w:bottom w:type="dxa" w:w="80"/>
              <w:right w:type="dxa" w:w="120"/>
            </w:tcMar>
            <w:vAlign w:val="center"/>
          </w:tcPr>
          <w:p>
            <w:pPr>
              <w:spacing w:after="60" w:before="60"/>
              <w:jc w:val="left"/>
            </w:pPr>
            <w:r>
              <w:rPr>
                <w:b w:val="false"/>
                <w:bCs w:val="false"/>
                <w:color w:val="333333"/>
                <w:sz w:val="18"/>
                <w:szCs w:val="18"/>
              </w:rPr>
              <w:t xml:space="preserve">W1</w:t>
            </w:r>
          </w:p>
        </w:tc>
        <w:tc>
          <w:tcPr>
            <w:tcW w:type="dxa" w:w="1200"/>
            <w:tcBorders>
              <w:top w:val="single" w:color="AACCDD" w:sz="4"/>
              <w:left w:val="single" w:color="AACCDD" w:sz="4"/>
              <w:bottom w:val="single" w:color="AACCDD" w:sz="4"/>
              <w:right w:val="single" w:color="AACCDD" w:sz="4"/>
            </w:tcBorders>
            <w:shd w:fill="FFFFFF" w:val="clear"/>
            <w:tcMar>
              <w:top w:type="dxa" w:w="80"/>
              <w:left w:type="dxa" w:w="120"/>
              <w:bottom w:type="dxa" w:w="80"/>
              <w:right w:type="dxa" w:w="120"/>
            </w:tcMar>
            <w:vAlign w:val="center"/>
          </w:tcPr>
          <w:p>
            <w:pPr>
              <w:spacing w:after="60" w:before="60"/>
              <w:jc w:val="left"/>
            </w:pPr>
            <w:r>
              <w:rPr>
                <w:b w:val="false"/>
                <w:bCs w:val="false"/>
                <w:color w:val="333333"/>
                <w:sz w:val="18"/>
                <w:szCs w:val="18"/>
              </w:rPr>
              <w:t xml:space="preserve">2020</w:t>
            </w:r>
          </w:p>
        </w:tc>
        <w:tc>
          <w:tcPr>
            <w:tcW w:type="dxa" w:w="3800"/>
            <w:tcBorders>
              <w:top w:val="single" w:color="AACCDD" w:sz="4"/>
              <w:left w:val="single" w:color="AACCDD" w:sz="4"/>
              <w:bottom w:val="single" w:color="AACCDD" w:sz="4"/>
              <w:right w:val="single" w:color="AACCDD" w:sz="4"/>
            </w:tcBorders>
            <w:shd w:fill="FFFFFF" w:val="clear"/>
            <w:tcMar>
              <w:top w:type="dxa" w:w="80"/>
              <w:left w:type="dxa" w:w="120"/>
              <w:bottom w:type="dxa" w:w="80"/>
              <w:right w:type="dxa" w:w="120"/>
            </w:tcMar>
            <w:vAlign w:val="center"/>
          </w:tcPr>
          <w:p>
            <w:pPr>
              <w:spacing w:after="60" w:before="60"/>
              <w:jc w:val="left"/>
            </w:pPr>
            <w:r>
              <w:rPr>
                <w:b w:val="false"/>
                <w:bCs w:val="false"/>
                <w:color w:val="333333"/>
                <w:sz w:val="18"/>
                <w:szCs w:val="18"/>
              </w:rPr>
              <w:t xml:space="preserve">28</w:t>
            </w:r>
          </w:p>
        </w:tc>
        <w:tc>
          <w:tcPr>
            <w:tcW w:type="dxa" w:w="3880"/>
            <w:tcBorders>
              <w:top w:val="single" w:color="AACCDD" w:sz="4"/>
              <w:left w:val="single" w:color="AACCDD" w:sz="4"/>
              <w:bottom w:val="single" w:color="AACCDD" w:sz="4"/>
              <w:right w:val="single" w:color="AACCDD" w:sz="4"/>
            </w:tcBorders>
            <w:shd w:fill="FFFFFF" w:val="clear"/>
            <w:tcMar>
              <w:top w:type="dxa" w:w="80"/>
              <w:left w:type="dxa" w:w="120"/>
              <w:bottom w:type="dxa" w:w="80"/>
              <w:right w:type="dxa" w:w="120"/>
            </w:tcMar>
            <w:vAlign w:val="center"/>
          </w:tcPr>
          <w:p>
            <w:pPr>
              <w:spacing w:after="60" w:before="60"/>
              <w:jc w:val="left"/>
            </w:pPr>
            <w:r>
              <w:rPr>
                <w:b w:val="false"/>
                <w:bCs w:val="false"/>
                <w:color w:val="333333"/>
                <w:sz w:val="18"/>
                <w:szCs w:val="18"/>
              </w:rPr>
              <w:t xml:space="preserve">~1.1</w:t>
            </w:r>
          </w:p>
        </w:tc>
      </w:tr>
      <w:tr>
        <w:tc>
          <w:tcPr>
            <w:tcW w:type="dxa" w:w="1200"/>
            <w:tcBorders>
              <w:top w:val="single" w:color="AACCDD" w:sz="4"/>
              <w:left w:val="single" w:color="AACCDD" w:sz="4"/>
              <w:bottom w:val="single" w:color="AACCDD" w:sz="4"/>
              <w:right w:val="single" w:color="AACCDD" w:sz="4"/>
            </w:tcBorders>
            <w:shd w:fill="EEF5F9" w:val="clear"/>
            <w:tcMar>
              <w:top w:type="dxa" w:w="80"/>
              <w:left w:type="dxa" w:w="120"/>
              <w:bottom w:type="dxa" w:w="80"/>
              <w:right w:type="dxa" w:w="120"/>
            </w:tcMar>
            <w:vAlign w:val="center"/>
          </w:tcPr>
          <w:p>
            <w:pPr>
              <w:spacing w:after="60" w:before="60"/>
              <w:jc w:val="left"/>
            </w:pPr>
            <w:r>
              <w:rPr>
                <w:b w:val="false"/>
                <w:bCs w:val="false"/>
                <w:color w:val="333333"/>
                <w:sz w:val="18"/>
                <w:szCs w:val="18"/>
              </w:rPr>
              <w:t xml:space="preserve">W2</w:t>
            </w:r>
          </w:p>
        </w:tc>
        <w:tc>
          <w:tcPr>
            <w:tcW w:type="dxa" w:w="1200"/>
            <w:tcBorders>
              <w:top w:val="single" w:color="AACCDD" w:sz="4"/>
              <w:left w:val="single" w:color="AACCDD" w:sz="4"/>
              <w:bottom w:val="single" w:color="AACCDD" w:sz="4"/>
              <w:right w:val="single" w:color="AACCDD" w:sz="4"/>
            </w:tcBorders>
            <w:shd w:fill="EEF5F9" w:val="clear"/>
            <w:tcMar>
              <w:top w:type="dxa" w:w="80"/>
              <w:left w:type="dxa" w:w="120"/>
              <w:bottom w:type="dxa" w:w="80"/>
              <w:right w:type="dxa" w:w="120"/>
            </w:tcMar>
            <w:vAlign w:val="center"/>
          </w:tcPr>
          <w:p>
            <w:pPr>
              <w:spacing w:after="60" w:before="60"/>
              <w:jc w:val="left"/>
            </w:pPr>
            <w:r>
              <w:rPr>
                <w:b w:val="false"/>
                <w:bCs w:val="false"/>
                <w:color w:val="333333"/>
                <w:sz w:val="18"/>
                <w:szCs w:val="18"/>
              </w:rPr>
              <w:t xml:space="preserve">2021</w:t>
            </w:r>
          </w:p>
        </w:tc>
        <w:tc>
          <w:tcPr>
            <w:tcW w:type="dxa" w:w="3800"/>
            <w:tcBorders>
              <w:top w:val="single" w:color="AACCDD" w:sz="4"/>
              <w:left w:val="single" w:color="AACCDD" w:sz="4"/>
              <w:bottom w:val="single" w:color="AACCDD" w:sz="4"/>
              <w:right w:val="single" w:color="AACCDD" w:sz="4"/>
            </w:tcBorders>
            <w:shd w:fill="EEF5F9" w:val="clear"/>
            <w:tcMar>
              <w:top w:type="dxa" w:w="80"/>
              <w:left w:type="dxa" w:w="120"/>
              <w:bottom w:type="dxa" w:w="80"/>
              <w:right w:type="dxa" w:w="120"/>
            </w:tcMar>
            <w:vAlign w:val="center"/>
          </w:tcPr>
          <w:p>
            <w:pPr>
              <w:spacing w:after="60" w:before="60"/>
              <w:jc w:val="left"/>
            </w:pPr>
            <w:r>
              <w:rPr>
                <w:b w:val="false"/>
                <w:bCs w:val="false"/>
                <w:color w:val="333333"/>
                <w:sz w:val="18"/>
                <w:szCs w:val="18"/>
              </w:rPr>
              <w:t xml:space="preserve">28</w:t>
            </w:r>
          </w:p>
        </w:tc>
        <w:tc>
          <w:tcPr>
            <w:tcW w:type="dxa" w:w="3880"/>
            <w:tcBorders>
              <w:top w:val="single" w:color="AACCDD" w:sz="4"/>
              <w:left w:val="single" w:color="AACCDD" w:sz="4"/>
              <w:bottom w:val="single" w:color="AACCDD" w:sz="4"/>
              <w:right w:val="single" w:color="AACCDD" w:sz="4"/>
            </w:tcBorders>
            <w:shd w:fill="EEF5F9" w:val="clear"/>
            <w:tcMar>
              <w:top w:type="dxa" w:w="80"/>
              <w:left w:type="dxa" w:w="120"/>
              <w:bottom w:type="dxa" w:w="80"/>
              <w:right w:type="dxa" w:w="120"/>
            </w:tcMar>
            <w:vAlign w:val="center"/>
          </w:tcPr>
          <w:p>
            <w:pPr>
              <w:spacing w:after="60" w:before="60"/>
              <w:jc w:val="left"/>
            </w:pPr>
            <w:r>
              <w:rPr>
                <w:b w:val="false"/>
                <w:bCs w:val="false"/>
                <w:color w:val="333333"/>
                <w:sz w:val="18"/>
                <w:szCs w:val="18"/>
              </w:rPr>
              <w:t xml:space="preserve">~0.8</w:t>
            </w:r>
          </w:p>
        </w:tc>
      </w:tr>
      <w:tr>
        <w:tc>
          <w:tcPr>
            <w:tcW w:type="dxa" w:w="1200"/>
            <w:tcBorders>
              <w:top w:val="single" w:color="AACCDD" w:sz="4"/>
              <w:left w:val="single" w:color="AACCDD" w:sz="4"/>
              <w:bottom w:val="single" w:color="AACCDD" w:sz="4"/>
              <w:right w:val="single" w:color="AACCDD" w:sz="4"/>
            </w:tcBorders>
            <w:shd w:fill="FFFFFF" w:val="clear"/>
            <w:tcMar>
              <w:top w:type="dxa" w:w="80"/>
              <w:left w:type="dxa" w:w="120"/>
              <w:bottom w:type="dxa" w:w="80"/>
              <w:right w:type="dxa" w:w="120"/>
            </w:tcMar>
            <w:vAlign w:val="center"/>
          </w:tcPr>
          <w:p>
            <w:pPr>
              <w:spacing w:after="60" w:before="60"/>
              <w:jc w:val="left"/>
            </w:pPr>
            <w:r>
              <w:rPr>
                <w:b w:val="false"/>
                <w:bCs w:val="false"/>
                <w:color w:val="333333"/>
                <w:sz w:val="18"/>
                <w:szCs w:val="18"/>
              </w:rPr>
              <w:t xml:space="preserve">W3</w:t>
            </w:r>
          </w:p>
        </w:tc>
        <w:tc>
          <w:tcPr>
            <w:tcW w:type="dxa" w:w="1200"/>
            <w:tcBorders>
              <w:top w:val="single" w:color="AACCDD" w:sz="4"/>
              <w:left w:val="single" w:color="AACCDD" w:sz="4"/>
              <w:bottom w:val="single" w:color="AACCDD" w:sz="4"/>
              <w:right w:val="single" w:color="AACCDD" w:sz="4"/>
            </w:tcBorders>
            <w:shd w:fill="FFFFFF" w:val="clear"/>
            <w:tcMar>
              <w:top w:type="dxa" w:w="80"/>
              <w:left w:type="dxa" w:w="120"/>
              <w:bottom w:type="dxa" w:w="80"/>
              <w:right w:type="dxa" w:w="120"/>
            </w:tcMar>
            <w:vAlign w:val="center"/>
          </w:tcPr>
          <w:p>
            <w:pPr>
              <w:spacing w:after="60" w:before="60"/>
              <w:jc w:val="left"/>
            </w:pPr>
            <w:r>
              <w:rPr>
                <w:b w:val="false"/>
                <w:bCs w:val="false"/>
                <w:color w:val="333333"/>
                <w:sz w:val="18"/>
                <w:szCs w:val="18"/>
              </w:rPr>
              <w:t xml:space="preserve">2022</w:t>
            </w:r>
          </w:p>
        </w:tc>
        <w:tc>
          <w:tcPr>
            <w:tcW w:type="dxa" w:w="3800"/>
            <w:tcBorders>
              <w:top w:val="single" w:color="AACCDD" w:sz="4"/>
              <w:left w:val="single" w:color="AACCDD" w:sz="4"/>
              <w:bottom w:val="single" w:color="AACCDD" w:sz="4"/>
              <w:right w:val="single" w:color="AACCDD" w:sz="4"/>
            </w:tcBorders>
            <w:shd w:fill="FFFFFF" w:val="clear"/>
            <w:tcMar>
              <w:top w:type="dxa" w:w="80"/>
              <w:left w:type="dxa" w:w="120"/>
              <w:bottom w:type="dxa" w:w="80"/>
              <w:right w:type="dxa" w:w="120"/>
            </w:tcMar>
            <w:vAlign w:val="center"/>
          </w:tcPr>
          <w:p>
            <w:pPr>
              <w:spacing w:after="60" w:before="60"/>
              <w:jc w:val="left"/>
            </w:pPr>
            <w:r>
              <w:rPr>
                <w:b w:val="false"/>
                <w:bCs w:val="false"/>
                <w:color w:val="333333"/>
                <w:sz w:val="18"/>
                <w:szCs w:val="18"/>
              </w:rPr>
              <w:t xml:space="preserve">28</w:t>
            </w:r>
          </w:p>
        </w:tc>
        <w:tc>
          <w:tcPr>
            <w:tcW w:type="dxa" w:w="3880"/>
            <w:tcBorders>
              <w:top w:val="single" w:color="AACCDD" w:sz="4"/>
              <w:left w:val="single" w:color="AACCDD" w:sz="4"/>
              <w:bottom w:val="single" w:color="AACCDD" w:sz="4"/>
              <w:right w:val="single" w:color="AACCDD" w:sz="4"/>
            </w:tcBorders>
            <w:shd w:fill="FFFFFF" w:val="clear"/>
            <w:tcMar>
              <w:top w:type="dxa" w:w="80"/>
              <w:left w:type="dxa" w:w="120"/>
              <w:bottom w:type="dxa" w:w="80"/>
              <w:right w:type="dxa" w:w="120"/>
            </w:tcMar>
            <w:vAlign w:val="center"/>
          </w:tcPr>
          <w:p>
            <w:pPr>
              <w:spacing w:after="60" w:before="60"/>
              <w:jc w:val="left"/>
            </w:pPr>
            <w:r>
              <w:rPr>
                <w:b w:val="false"/>
                <w:bCs w:val="false"/>
                <w:color w:val="333333"/>
                <w:sz w:val="18"/>
                <w:szCs w:val="18"/>
              </w:rPr>
              <w:t xml:space="preserve">~1.0</w:t>
            </w:r>
          </w:p>
        </w:tc>
      </w:tr>
      <w:tr>
        <w:tc>
          <w:tcPr>
            <w:tcW w:type="dxa" w:w="1200"/>
            <w:tcBorders>
              <w:top w:val="single" w:color="AACCDD" w:sz="4"/>
              <w:left w:val="single" w:color="AACCDD" w:sz="4"/>
              <w:bottom w:val="single" w:color="AACCDD" w:sz="4"/>
              <w:right w:val="single" w:color="AACCDD" w:sz="4"/>
            </w:tcBorders>
            <w:shd w:fill="EEF5F9" w:val="clear"/>
            <w:tcMar>
              <w:top w:type="dxa" w:w="80"/>
              <w:left w:type="dxa" w:w="120"/>
              <w:bottom w:type="dxa" w:w="80"/>
              <w:right w:type="dxa" w:w="120"/>
            </w:tcMar>
            <w:vAlign w:val="center"/>
          </w:tcPr>
          <w:p>
            <w:pPr>
              <w:spacing w:after="60" w:before="60"/>
              <w:jc w:val="left"/>
            </w:pPr>
            <w:r>
              <w:rPr>
                <w:b w:val="false"/>
                <w:bCs w:val="false"/>
                <w:color w:val="333333"/>
                <w:sz w:val="18"/>
                <w:szCs w:val="18"/>
              </w:rPr>
              <w:t xml:space="preserve">W4</w:t>
            </w:r>
          </w:p>
        </w:tc>
        <w:tc>
          <w:tcPr>
            <w:tcW w:type="dxa" w:w="1200"/>
            <w:tcBorders>
              <w:top w:val="single" w:color="AACCDD" w:sz="4"/>
              <w:left w:val="single" w:color="AACCDD" w:sz="4"/>
              <w:bottom w:val="single" w:color="AACCDD" w:sz="4"/>
              <w:right w:val="single" w:color="AACCDD" w:sz="4"/>
            </w:tcBorders>
            <w:shd w:fill="EEF5F9" w:val="clear"/>
            <w:tcMar>
              <w:top w:type="dxa" w:w="80"/>
              <w:left w:type="dxa" w:w="120"/>
              <w:bottom w:type="dxa" w:w="80"/>
              <w:right w:type="dxa" w:w="120"/>
            </w:tcMar>
            <w:vAlign w:val="center"/>
          </w:tcPr>
          <w:p>
            <w:pPr>
              <w:spacing w:after="60" w:before="60"/>
              <w:jc w:val="left"/>
            </w:pPr>
            <w:r>
              <w:rPr>
                <w:b w:val="false"/>
                <w:bCs w:val="false"/>
                <w:color w:val="333333"/>
                <w:sz w:val="18"/>
                <w:szCs w:val="18"/>
              </w:rPr>
              <w:t xml:space="preserve">2023</w:t>
            </w:r>
          </w:p>
        </w:tc>
        <w:tc>
          <w:tcPr>
            <w:tcW w:type="dxa" w:w="3800"/>
            <w:tcBorders>
              <w:top w:val="single" w:color="AACCDD" w:sz="4"/>
              <w:left w:val="single" w:color="AACCDD" w:sz="4"/>
              <w:bottom w:val="single" w:color="AACCDD" w:sz="4"/>
              <w:right w:val="single" w:color="AACCDD" w:sz="4"/>
            </w:tcBorders>
            <w:shd w:fill="EEF5F9" w:val="clear"/>
            <w:tcMar>
              <w:top w:type="dxa" w:w="80"/>
              <w:left w:type="dxa" w:w="120"/>
              <w:bottom w:type="dxa" w:w="80"/>
              <w:right w:type="dxa" w:w="120"/>
            </w:tcMar>
            <w:vAlign w:val="center"/>
          </w:tcPr>
          <w:p>
            <w:pPr>
              <w:spacing w:after="60" w:before="60"/>
              <w:jc w:val="left"/>
            </w:pPr>
            <w:r>
              <w:rPr>
                <w:b w:val="false"/>
                <w:bCs w:val="false"/>
                <w:color w:val="333333"/>
                <w:sz w:val="18"/>
                <w:szCs w:val="18"/>
              </w:rPr>
              <w:t xml:space="preserve">28</w:t>
            </w:r>
          </w:p>
        </w:tc>
        <w:tc>
          <w:tcPr>
            <w:tcW w:type="dxa" w:w="3880"/>
            <w:tcBorders>
              <w:top w:val="single" w:color="AACCDD" w:sz="4"/>
              <w:left w:val="single" w:color="AACCDD" w:sz="4"/>
              <w:bottom w:val="single" w:color="AACCDD" w:sz="4"/>
              <w:right w:val="single" w:color="AACCDD" w:sz="4"/>
            </w:tcBorders>
            <w:shd w:fill="EEF5F9" w:val="clear"/>
            <w:tcMar>
              <w:top w:type="dxa" w:w="80"/>
              <w:left w:type="dxa" w:w="120"/>
              <w:bottom w:type="dxa" w:w="80"/>
              <w:right w:type="dxa" w:w="120"/>
            </w:tcMar>
            <w:vAlign w:val="center"/>
          </w:tcPr>
          <w:p>
            <w:pPr>
              <w:spacing w:after="60" w:before="60"/>
              <w:jc w:val="left"/>
            </w:pPr>
            <w:r>
              <w:rPr>
                <w:b w:val="false"/>
                <w:bCs w:val="false"/>
                <w:color w:val="333333"/>
                <w:sz w:val="18"/>
                <w:szCs w:val="18"/>
              </w:rPr>
              <w:t xml:space="preserve">~0.9</w:t>
            </w:r>
          </w:p>
        </w:tc>
      </w:tr>
      <w:tr>
        <w:tc>
          <w:tcPr>
            <w:tcW w:type="dxa" w:w="1200"/>
            <w:tcBorders>
              <w:top w:val="single" w:color="AACCDD" w:sz="4"/>
              <w:left w:val="single" w:color="AACCDD" w:sz="4"/>
              <w:bottom w:val="single" w:color="AACCDD" w:sz="4"/>
              <w:right w:val="single" w:color="AACCDD" w:sz="4"/>
            </w:tcBorders>
            <w:shd w:fill="FFFFFF" w:val="clear"/>
            <w:tcMar>
              <w:top w:type="dxa" w:w="80"/>
              <w:left w:type="dxa" w:w="120"/>
              <w:bottom w:type="dxa" w:w="80"/>
              <w:right w:type="dxa" w:w="120"/>
            </w:tcMar>
            <w:vAlign w:val="center"/>
          </w:tcPr>
          <w:p>
            <w:pPr>
              <w:spacing w:after="60" w:before="60"/>
              <w:jc w:val="left"/>
            </w:pPr>
            <w:r>
              <w:rPr>
                <w:b w:val="false"/>
                <w:bCs w:val="false"/>
                <w:color w:val="333333"/>
                <w:sz w:val="18"/>
                <w:szCs w:val="18"/>
              </w:rPr>
              <w:t xml:space="preserve">W5</w:t>
            </w:r>
          </w:p>
        </w:tc>
        <w:tc>
          <w:tcPr>
            <w:tcW w:type="dxa" w:w="1200"/>
            <w:tcBorders>
              <w:top w:val="single" w:color="AACCDD" w:sz="4"/>
              <w:left w:val="single" w:color="AACCDD" w:sz="4"/>
              <w:bottom w:val="single" w:color="AACCDD" w:sz="4"/>
              <w:right w:val="single" w:color="AACCDD" w:sz="4"/>
            </w:tcBorders>
            <w:shd w:fill="FFFFFF" w:val="clear"/>
            <w:tcMar>
              <w:top w:type="dxa" w:w="80"/>
              <w:left w:type="dxa" w:w="120"/>
              <w:bottom w:type="dxa" w:w="80"/>
              <w:right w:type="dxa" w:w="120"/>
            </w:tcMar>
            <w:vAlign w:val="center"/>
          </w:tcPr>
          <w:p>
            <w:pPr>
              <w:spacing w:after="60" w:before="60"/>
              <w:jc w:val="left"/>
            </w:pPr>
            <w:r>
              <w:rPr>
                <w:b w:val="false"/>
                <w:bCs w:val="false"/>
                <w:color w:val="333333"/>
                <w:sz w:val="18"/>
                <w:szCs w:val="18"/>
              </w:rPr>
              <w:t xml:space="preserve">2024</w:t>
            </w:r>
          </w:p>
        </w:tc>
        <w:tc>
          <w:tcPr>
            <w:tcW w:type="dxa" w:w="3800"/>
            <w:tcBorders>
              <w:top w:val="single" w:color="AACCDD" w:sz="4"/>
              <w:left w:val="single" w:color="AACCDD" w:sz="4"/>
              <w:bottom w:val="single" w:color="AACCDD" w:sz="4"/>
              <w:right w:val="single" w:color="AACCDD" w:sz="4"/>
            </w:tcBorders>
            <w:shd w:fill="FFFFFF" w:val="clear"/>
            <w:tcMar>
              <w:top w:type="dxa" w:w="80"/>
              <w:left w:type="dxa" w:w="120"/>
              <w:bottom w:type="dxa" w:w="80"/>
              <w:right w:type="dxa" w:w="120"/>
            </w:tcMar>
            <w:vAlign w:val="center"/>
          </w:tcPr>
          <w:p>
            <w:pPr>
              <w:spacing w:after="60" w:before="60"/>
              <w:jc w:val="left"/>
            </w:pPr>
            <w:r>
              <w:rPr>
                <w:b w:val="false"/>
                <w:bCs w:val="false"/>
                <w:color w:val="333333"/>
                <w:sz w:val="18"/>
                <w:szCs w:val="18"/>
              </w:rPr>
              <w:t xml:space="preserve">28</w:t>
            </w:r>
          </w:p>
        </w:tc>
        <w:tc>
          <w:tcPr>
            <w:tcW w:type="dxa" w:w="3880"/>
            <w:tcBorders>
              <w:top w:val="single" w:color="AACCDD" w:sz="4"/>
              <w:left w:val="single" w:color="AACCDD" w:sz="4"/>
              <w:bottom w:val="single" w:color="AACCDD" w:sz="4"/>
              <w:right w:val="single" w:color="AACCDD" w:sz="4"/>
            </w:tcBorders>
            <w:shd w:fill="FFFFFF" w:val="clear"/>
            <w:tcMar>
              <w:top w:type="dxa" w:w="80"/>
              <w:left w:type="dxa" w:w="120"/>
              <w:bottom w:type="dxa" w:w="80"/>
              <w:right w:type="dxa" w:w="120"/>
            </w:tcMar>
            <w:vAlign w:val="center"/>
          </w:tcPr>
          <w:p>
            <w:pPr>
              <w:spacing w:after="60" w:before="60"/>
              <w:jc w:val="left"/>
            </w:pPr>
            <w:r>
              <w:rPr>
                <w:b w:val="false"/>
                <w:bCs w:val="false"/>
                <w:color w:val="333333"/>
                <w:sz w:val="18"/>
                <w:szCs w:val="18"/>
              </w:rPr>
              <w:t xml:space="preserve">~1.0</w:t>
            </w:r>
          </w:p>
        </w:tc>
      </w:tr>
      <w:tr>
        <w:tc>
          <w:tcPr>
            <w:tcW w:type="dxa" w:w="1200"/>
            <w:tcBorders>
              <w:top w:val="single" w:color="AACCDD" w:sz="4"/>
              <w:left w:val="single" w:color="AACCDD" w:sz="4"/>
              <w:bottom w:val="single" w:color="AACCDD" w:sz="4"/>
              <w:right w:val="single" w:color="AACCDD" w:sz="4"/>
            </w:tcBorders>
            <w:shd w:fill="EEF5F9" w:val="clear"/>
            <w:tcMar>
              <w:top w:type="dxa" w:w="80"/>
              <w:left w:type="dxa" w:w="120"/>
              <w:bottom w:type="dxa" w:w="80"/>
              <w:right w:type="dxa" w:w="120"/>
            </w:tcMar>
            <w:vAlign w:val="center"/>
          </w:tcPr>
          <w:p>
            <w:pPr>
              <w:spacing w:after="60" w:before="60"/>
              <w:jc w:val="left"/>
            </w:pPr>
            <w:r>
              <w:rPr>
                <w:b/>
                <w:bCs/>
                <w:color w:val="333333"/>
                <w:sz w:val="18"/>
                <w:szCs w:val="18"/>
              </w:rPr>
              <w:t xml:space="preserve">Average</w:t>
            </w:r>
          </w:p>
        </w:tc>
        <w:tc>
          <w:tcPr>
            <w:tcW w:type="dxa" w:w="1200"/>
            <w:tcBorders>
              <w:top w:val="single" w:color="AACCDD" w:sz="4"/>
              <w:left w:val="single" w:color="AACCDD" w:sz="4"/>
              <w:bottom w:val="single" w:color="AACCDD" w:sz="4"/>
              <w:right w:val="single" w:color="AACCDD" w:sz="4"/>
            </w:tcBorders>
            <w:shd w:fill="EEF5F9" w:val="clear"/>
            <w:tcMar>
              <w:top w:type="dxa" w:w="80"/>
              <w:left w:type="dxa" w:w="120"/>
              <w:bottom w:type="dxa" w:w="80"/>
              <w:right w:type="dxa" w:w="120"/>
            </w:tcMar>
            <w:vAlign w:val="center"/>
          </w:tcPr>
          <w:p>
            <w:pPr>
              <w:spacing w:after="60" w:before="60"/>
              <w:jc w:val="left"/>
            </w:pPr>
            <w:r>
              <w:rPr>
                <w:b w:val="false"/>
                <w:bCs w:val="false"/>
                <w:color w:val="333333"/>
                <w:sz w:val="18"/>
                <w:szCs w:val="18"/>
              </w:rPr>
              <w:t xml:space="preserve"/>
            </w:r>
          </w:p>
        </w:tc>
        <w:tc>
          <w:tcPr>
            <w:tcW w:type="dxa" w:w="3800"/>
            <w:tcBorders>
              <w:top w:val="single" w:color="AACCDD" w:sz="4"/>
              <w:left w:val="single" w:color="AACCDD" w:sz="4"/>
              <w:bottom w:val="single" w:color="AACCDD" w:sz="4"/>
              <w:right w:val="single" w:color="AACCDD" w:sz="4"/>
            </w:tcBorders>
            <w:shd w:fill="EEF5F9" w:val="clear"/>
            <w:tcMar>
              <w:top w:type="dxa" w:w="80"/>
              <w:left w:type="dxa" w:w="120"/>
              <w:bottom w:type="dxa" w:w="80"/>
              <w:right w:type="dxa" w:w="120"/>
            </w:tcMar>
            <w:vAlign w:val="center"/>
          </w:tcPr>
          <w:p>
            <w:pPr>
              <w:spacing w:after="60" w:before="60"/>
              <w:jc w:val="left"/>
            </w:pPr>
            <w:r>
              <w:rPr>
                <w:b w:val="false"/>
                <w:bCs w:val="false"/>
                <w:color w:val="333333"/>
                <w:sz w:val="18"/>
                <w:szCs w:val="18"/>
              </w:rPr>
              <w:t xml:space="preserve">RSI=28 (5/5 windows)</w:t>
            </w:r>
          </w:p>
        </w:tc>
        <w:tc>
          <w:tcPr>
            <w:tcW w:type="dxa" w:w="3880"/>
            <w:tcBorders>
              <w:top w:val="single" w:color="AACCDD" w:sz="4"/>
              <w:left w:val="single" w:color="AACCDD" w:sz="4"/>
              <w:bottom w:val="single" w:color="AACCDD" w:sz="4"/>
              <w:right w:val="single" w:color="AACCDD" w:sz="4"/>
            </w:tcBorders>
            <w:shd w:fill="EEF5F9" w:val="clear"/>
            <w:tcMar>
              <w:top w:type="dxa" w:w="80"/>
              <w:left w:type="dxa" w:w="120"/>
              <w:bottom w:type="dxa" w:w="80"/>
              <w:right w:type="dxa" w:w="120"/>
            </w:tcMar>
            <w:vAlign w:val="center"/>
          </w:tcPr>
          <w:p>
            <w:pPr>
              <w:spacing w:after="60" w:before="60"/>
              <w:jc w:val="left"/>
            </w:pPr>
            <w:r>
              <w:rPr>
                <w:b/>
                <w:bCs/>
                <w:color w:val="333333"/>
                <w:sz w:val="18"/>
                <w:szCs w:val="18"/>
              </w:rPr>
              <w:t xml:space="preserve">0.959</w:t>
            </w:r>
          </w:p>
        </w:tc>
      </w:tr>
    </w:tbl>
    <w:p>
      <w:pPr>
        <w:spacing w:after="120" w:before="0"/>
      </w:pPr>
    </w:p>
    <w:p>
      <w:pPr>
        <w:pStyle w:val="Heading2"/>
        <w:pBdr>
          <w:bottom w:val="single" w:color="2C4A8C" w:sz="6"/>
        </w:pBdr>
        <w:spacing w:after="100" w:before="200"/>
      </w:pPr>
      <w:r>
        <w:rPr>
          <w:b/>
          <w:bCs/>
          <w:color w:val="1a2744"/>
          <w:sz w:val="24"/>
          <w:szCs w:val="24"/>
        </w:rPr>
        <w:t xml:space="preserve">4.3  Key Insights</w:t>
      </w:r>
    </w:p>
    <w:p>
      <w:pPr>
        <w:spacing w:after="60" w:before="60"/>
        <w:jc w:val="left"/>
      </w:pPr>
      <w:r>
        <w:rPr>
          <w:b/>
          <w:bCs/>
          <w:i w:val="false"/>
          <w:iCs w:val="false"/>
          <w:color w:val="333333"/>
          <w:sz w:val="20"/>
          <w:szCs w:val="20"/>
        </w:rPr>
        <w:t xml:space="preserve">RSI=28 won in ALL FIVE windows independently. This is remarkable parameter consistency — in quant finance, a parameter that wins across every test period is a strong signal of genuine predictive power rather than curve-fitting.</w:t>
      </w:r>
    </w:p>
    <w:p>
      <w:pPr>
        <w:spacing w:after="80" w:before="0"/>
      </w:pPr>
    </w:p>
    <w:p>
      <w:pPr>
        <w:spacing w:after="60" w:before="60"/>
        <w:jc w:val="left"/>
      </w:pPr>
      <w:r>
        <w:rPr>
          <w:b w:val="false"/>
          <w:bCs w:val="false"/>
          <w:i w:val="false"/>
          <w:iCs w:val="false"/>
          <w:color w:val="333333"/>
          <w:sz w:val="20"/>
          <w:szCs w:val="20"/>
        </w:rPr>
        <w:t xml:space="preserve">Decay: -0.475 (NEGATIVE — OOS outperforms IS). The strategy is actually better in live conditions than in training. This is the opposite of overfitting.</w:t>
      </w:r>
    </w:p>
    <w:p>
      <w:pPr>
        <w:spacing w:after="80" w:before="0"/>
      </w:pPr>
    </w:p>
    <w:p>
      <w:pPr>
        <w:spacing w:after="60" w:before="60"/>
        <w:jc w:val="left"/>
      </w:pPr>
      <w:r>
        <w:rPr>
          <w:b w:val="false"/>
          <w:bCs w:val="false"/>
          <w:i/>
          <w:iCs/>
          <w:color w:val="333333"/>
          <w:sz w:val="20"/>
          <w:szCs w:val="20"/>
        </w:rPr>
        <w:t xml:space="preserve">Role in portfolio: MR provides LOW CORRELATION to the Trend strategy. When markets are choppy and trend-following struggles, MR produces positive returns. This diversification benefit is the primary reason for inclusion.</w:t>
      </w:r>
    </w:p>
    <w:p>
      <w:pPr>
        <w:spacing w:after="80" w:before="0"/>
      </w:pPr>
    </w:p>
    <w:p>
      <w:r>
        <w:br w:type="page"/>
      </w:r>
    </w:p>
    <w:p>
      <w:pPr>
        <w:pStyle w:val="Heading1"/>
        <w:shd w:fill="1a2744" w:val="clear"/>
        <w:spacing w:after="160" w:before="280"/>
      </w:pPr>
      <w:r>
        <w:rPr>
          <w:b/>
          <w:bCs/>
          <w:color w:val="FFFFFF"/>
          <w:sz w:val="32"/>
          <w:szCs w:val="32"/>
        </w:rPr>
        <w:t xml:space="preserve">SECTION 5: EVENT-DRIVEN STRATEGY — RESULTS</w:t>
      </w:r>
    </w:p>
    <w:p>
      <w:pPr>
        <w:spacing w:after="80" w:before="0"/>
      </w:pPr>
    </w:p>
    <w:p>
      <w:pPr>
        <w:pStyle w:val="Heading2"/>
        <w:pBdr>
          <w:bottom w:val="single" w:color="2C4A8C" w:sz="6"/>
        </w:pBdr>
        <w:spacing w:after="100" w:before="200"/>
      </w:pPr>
      <w:r>
        <w:rPr>
          <w:b/>
          <w:bCs/>
          <w:color w:val="1a2744"/>
          <w:sz w:val="24"/>
          <w:szCs w:val="24"/>
        </w:rPr>
        <w:t xml:space="preserve">5.1  Strategy Description</w:t>
      </w:r>
    </w:p>
    <w:p>
      <w:pPr>
        <w:spacing w:after="60" w:before="60"/>
        <w:jc w:val="left"/>
      </w:pPr>
      <w:r>
        <w:rPr>
          <w:b w:val="false"/>
          <w:bCs w:val="false"/>
          <w:i w:val="false"/>
          <w:iCs w:val="false"/>
          <w:color w:val="333333"/>
          <w:sz w:val="20"/>
          <w:szCs w:val="20"/>
        </w:rPr>
        <w:t xml:space="preserve">The Event-Driven (ED) strategy exploits the pre-earnings announcement drift phenomenon — stocks with consistent historical earnings beats tend to outperform in the 3 days before earnings release.</w:t>
      </w:r>
    </w:p>
    <w:p>
      <w:pPr>
        <w:spacing w:after="80" w:before="0"/>
      </w:pPr>
    </w:p>
    <w:p>
      <w:pPr>
        <w:spacing w:after="60" w:before="60"/>
        <w:jc w:val="left"/>
      </w:pPr>
      <w:r>
        <w:rPr>
          <w:b/>
          <w:bCs/>
          <w:i w:val="false"/>
          <w:iCs w:val="false"/>
          <w:color w:val="333333"/>
          <w:sz w:val="20"/>
          <w:szCs w:val="20"/>
        </w:rPr>
        <w:t xml:space="preserve">Entry Conditions (ALL must be met):</w:t>
      </w:r>
    </w:p>
    <w:p>
      <w:pPr>
        <w:pStyle w:val="ListParagraph"/>
        <w:numPr>
          <w:ilvl w:val="0"/>
          <w:numId w:val="2"/>
        </w:numPr>
        <w:spacing w:after="40" w:before="40"/>
      </w:pPr>
      <w:r>
        <w:rPr>
          <w:b w:val="false"/>
          <w:bCs w:val="false"/>
          <w:color w:val="333333"/>
          <w:sz w:val="20"/>
          <w:szCs w:val="20"/>
        </w:rPr>
        <w:t xml:space="preserve">Earnings release within 3 days</w:t>
      </w:r>
    </w:p>
    <w:p>
      <w:pPr>
        <w:pStyle w:val="ListParagraph"/>
        <w:numPr>
          <w:ilvl w:val="0"/>
          <w:numId w:val="2"/>
        </w:numPr>
        <w:spacing w:after="40" w:before="40"/>
      </w:pPr>
      <w:r>
        <w:rPr>
          <w:b w:val="false"/>
          <w:bCs w:val="false"/>
          <w:color w:val="333333"/>
          <w:sz w:val="20"/>
          <w:szCs w:val="20"/>
        </w:rPr>
        <w:t xml:space="preserve">Historical weekly win rate 57.7% (Walk-Forward validated)</w:t>
      </w:r>
    </w:p>
    <w:p>
      <w:pPr>
        <w:pStyle w:val="ListParagraph"/>
        <w:numPr>
          <w:ilvl w:val="0"/>
          <w:numId w:val="2"/>
        </w:numPr>
        <w:spacing w:after="40" w:before="40"/>
      </w:pPr>
      <w:r>
        <w:rPr>
          <w:b w:val="false"/>
          <w:bCs w:val="false"/>
          <w:color w:val="333333"/>
          <w:sz w:val="20"/>
          <w:szCs w:val="20"/>
        </w:rPr>
        <w:t xml:space="preserve">Most recent earnings surprise &gt;= 2%</w:t>
      </w:r>
    </w:p>
    <w:p>
      <w:pPr>
        <w:pStyle w:val="ListParagraph"/>
        <w:numPr>
          <w:ilvl w:val="0"/>
          <w:numId w:val="2"/>
        </w:numPr>
        <w:spacing w:after="40" w:before="40"/>
      </w:pPr>
      <w:r>
        <w:rPr>
          <w:b w:val="false"/>
          <w:bCs w:val="false"/>
          <w:color w:val="333333"/>
          <w:sz w:val="20"/>
          <w:szCs w:val="20"/>
        </w:rPr>
        <w:t xml:space="preserve">Regime filter: Reduced position sizing in Strong Bull (FOMO protection)</w:t>
      </w:r>
    </w:p>
    <w:p>
      <w:pPr>
        <w:spacing w:after="120" w:before="0"/>
      </w:pPr>
    </w:p>
    <w:p>
      <w:pPr>
        <w:pStyle w:val="Heading2"/>
        <w:pBdr>
          <w:bottom w:val="single" w:color="2C4A8C" w:sz="6"/>
        </w:pBdr>
        <w:spacing w:after="100" w:before="200"/>
      </w:pPr>
      <w:r>
        <w:rPr>
          <w:b/>
          <w:bCs/>
          <w:color w:val="1a2744"/>
          <w:sz w:val="24"/>
          <w:szCs w:val="24"/>
        </w:rPr>
        <w:t xml:space="preserve">5.2  Walk-Forward Results</w:t>
      </w:r>
    </w:p>
    <w:p>
      <w:pPr>
        <w:spacing w:after="60" w:before="0"/>
      </w:pPr>
    </w:p>
    <w:tbl>
      <w:tblPr>
        <w:tblW w:type="dxa" w:w="10080"/>
        <w:tblBorders>
          <w:top w:val="single" w:color="AACCDD" w:sz="4"/>
          <w:left w:val="single" w:color="AACCDD" w:sz="4"/>
          <w:bottom w:val="single" w:color="AACCDD" w:sz="4"/>
          <w:right w:val="single" w:color="AACCDD" w:sz="4"/>
          <w:insideH w:val="single" w:color="auto" w:sz="4"/>
          <w:insideV w:val="single" w:color="auto" w:sz="4"/>
        </w:tblBorders>
      </w:tblPr>
      <w:tblGrid>
        <w:gridCol w:w="800"/>
        <w:gridCol w:w="800"/>
        <w:gridCol w:w="1800"/>
        <w:gridCol w:w="1300"/>
        <w:gridCol w:w="5380"/>
      </w:tblGrid>
      <w:tr>
        <w:trPr>
          <w:tblHeader/>
        </w:trPr>
        <w:tc>
          <w:tcPr>
            <w:tcW w:type="dxa" w:w="800"/>
            <w:tcBorders>
              <w:top w:val="single" w:color="AACCDD" w:sz="4"/>
              <w:left w:val="single" w:color="AACCDD" w:sz="4"/>
              <w:bottom w:val="single" w:color="AACCDD" w:sz="4"/>
              <w:right w:val="single" w:color="AACCDD" w:sz="4"/>
            </w:tcBorders>
            <w:shd w:fill="D5E8F0" w:val="clear"/>
            <w:tcMar>
              <w:top w:type="dxa" w:w="80"/>
              <w:left w:type="dxa" w:w="120"/>
              <w:bottom w:type="dxa" w:w="80"/>
              <w:right w:type="dxa" w:w="120"/>
            </w:tcMar>
            <w:vAlign w:val="center"/>
          </w:tcPr>
          <w:p>
            <w:pPr>
              <w:spacing w:after="60" w:before="60"/>
              <w:jc w:val="left"/>
            </w:pPr>
            <w:r>
              <w:rPr>
                <w:b/>
                <w:bCs/>
                <w:color w:val="1a2744"/>
                <w:sz w:val="18"/>
                <w:szCs w:val="18"/>
              </w:rPr>
              <w:t xml:space="preserve">Window</w:t>
            </w:r>
          </w:p>
        </w:tc>
        <w:tc>
          <w:tcPr>
            <w:tcW w:type="dxa" w:w="800"/>
            <w:tcBorders>
              <w:top w:val="single" w:color="AACCDD" w:sz="4"/>
              <w:left w:val="single" w:color="AACCDD" w:sz="4"/>
              <w:bottom w:val="single" w:color="AACCDD" w:sz="4"/>
              <w:right w:val="single" w:color="AACCDD" w:sz="4"/>
            </w:tcBorders>
            <w:shd w:fill="D5E8F0" w:val="clear"/>
            <w:tcMar>
              <w:top w:type="dxa" w:w="80"/>
              <w:left w:type="dxa" w:w="120"/>
              <w:bottom w:type="dxa" w:w="80"/>
              <w:right w:type="dxa" w:w="120"/>
            </w:tcMar>
            <w:vAlign w:val="center"/>
          </w:tcPr>
          <w:p>
            <w:pPr>
              <w:spacing w:after="60" w:before="60"/>
              <w:jc w:val="left"/>
            </w:pPr>
            <w:r>
              <w:rPr>
                <w:b/>
                <w:bCs/>
                <w:color w:val="1a2744"/>
                <w:sz w:val="18"/>
                <w:szCs w:val="18"/>
              </w:rPr>
              <w:t xml:space="preserve">Test Period</w:t>
            </w:r>
          </w:p>
        </w:tc>
        <w:tc>
          <w:tcPr>
            <w:tcW w:type="dxa" w:w="1800"/>
            <w:tcBorders>
              <w:top w:val="single" w:color="AACCDD" w:sz="4"/>
              <w:left w:val="single" w:color="AACCDD" w:sz="4"/>
              <w:bottom w:val="single" w:color="AACCDD" w:sz="4"/>
              <w:right w:val="single" w:color="AACCDD" w:sz="4"/>
            </w:tcBorders>
            <w:shd w:fill="D5E8F0" w:val="clear"/>
            <w:tcMar>
              <w:top w:type="dxa" w:w="80"/>
              <w:left w:type="dxa" w:w="120"/>
              <w:bottom w:type="dxa" w:w="80"/>
              <w:right w:type="dxa" w:w="120"/>
            </w:tcMar>
            <w:vAlign w:val="center"/>
          </w:tcPr>
          <w:p>
            <w:pPr>
              <w:spacing w:after="60" w:before="60"/>
              <w:jc w:val="left"/>
            </w:pPr>
            <w:r>
              <w:rPr>
                <w:b/>
                <w:bCs/>
                <w:color w:val="1a2744"/>
                <w:sz w:val="18"/>
                <w:szCs w:val="18"/>
              </w:rPr>
              <w:t xml:space="preserve">Market Condition</w:t>
            </w:r>
          </w:p>
        </w:tc>
        <w:tc>
          <w:tcPr>
            <w:tcW w:type="dxa" w:w="1300"/>
            <w:tcBorders>
              <w:top w:val="single" w:color="AACCDD" w:sz="4"/>
              <w:left w:val="single" w:color="AACCDD" w:sz="4"/>
              <w:bottom w:val="single" w:color="AACCDD" w:sz="4"/>
              <w:right w:val="single" w:color="AACCDD" w:sz="4"/>
            </w:tcBorders>
            <w:shd w:fill="D5E8F0" w:val="clear"/>
            <w:tcMar>
              <w:top w:type="dxa" w:w="80"/>
              <w:left w:type="dxa" w:w="120"/>
              <w:bottom w:type="dxa" w:w="80"/>
              <w:right w:type="dxa" w:w="120"/>
            </w:tcMar>
            <w:vAlign w:val="center"/>
          </w:tcPr>
          <w:p>
            <w:pPr>
              <w:spacing w:after="60" w:before="60"/>
              <w:jc w:val="left"/>
            </w:pPr>
            <w:r>
              <w:rPr>
                <w:b/>
                <w:bCs/>
                <w:color w:val="1a2744"/>
                <w:sz w:val="18"/>
                <w:szCs w:val="18"/>
              </w:rPr>
              <w:t xml:space="preserve">OOS Sharpe</w:t>
            </w:r>
          </w:p>
        </w:tc>
        <w:tc>
          <w:tcPr>
            <w:tcW w:type="dxa" w:w="5380"/>
            <w:tcBorders>
              <w:top w:val="single" w:color="AACCDD" w:sz="4"/>
              <w:left w:val="single" w:color="AACCDD" w:sz="4"/>
              <w:bottom w:val="single" w:color="AACCDD" w:sz="4"/>
              <w:right w:val="single" w:color="AACCDD" w:sz="4"/>
            </w:tcBorders>
            <w:shd w:fill="D5E8F0" w:val="clear"/>
            <w:tcMar>
              <w:top w:type="dxa" w:w="80"/>
              <w:left w:type="dxa" w:w="120"/>
              <w:bottom w:type="dxa" w:w="80"/>
              <w:right w:type="dxa" w:w="120"/>
            </w:tcMar>
            <w:vAlign w:val="center"/>
          </w:tcPr>
          <w:p>
            <w:pPr>
              <w:spacing w:after="60" w:before="60"/>
              <w:jc w:val="left"/>
            </w:pPr>
            <w:r>
              <w:rPr>
                <w:b/>
                <w:bCs/>
                <w:color w:val="1a2744"/>
                <w:sz w:val="18"/>
                <w:szCs w:val="18"/>
              </w:rPr>
              <w:t xml:space="preserve">Note</w:t>
            </w:r>
          </w:p>
        </w:tc>
      </w:tr>
      <w:tr>
        <w:tc>
          <w:tcPr>
            <w:tcW w:type="dxa" w:w="800"/>
            <w:tcBorders>
              <w:top w:val="single" w:color="AACCDD" w:sz="4"/>
              <w:left w:val="single" w:color="AACCDD" w:sz="4"/>
              <w:bottom w:val="single" w:color="AACCDD" w:sz="4"/>
              <w:right w:val="single" w:color="AACCDD" w:sz="4"/>
            </w:tcBorders>
            <w:shd w:fill="FFFFFF" w:val="clear"/>
            <w:tcMar>
              <w:top w:type="dxa" w:w="80"/>
              <w:left w:type="dxa" w:w="120"/>
              <w:bottom w:type="dxa" w:w="80"/>
              <w:right w:type="dxa" w:w="120"/>
            </w:tcMar>
            <w:vAlign w:val="center"/>
          </w:tcPr>
          <w:p>
            <w:pPr>
              <w:spacing w:after="60" w:before="60"/>
              <w:jc w:val="left"/>
            </w:pPr>
            <w:r>
              <w:rPr>
                <w:b w:val="false"/>
                <w:bCs w:val="false"/>
                <w:color w:val="333333"/>
                <w:sz w:val="18"/>
                <w:szCs w:val="18"/>
              </w:rPr>
              <w:t xml:space="preserve">W1</w:t>
            </w:r>
          </w:p>
        </w:tc>
        <w:tc>
          <w:tcPr>
            <w:tcW w:type="dxa" w:w="800"/>
            <w:tcBorders>
              <w:top w:val="single" w:color="AACCDD" w:sz="4"/>
              <w:left w:val="single" w:color="AACCDD" w:sz="4"/>
              <w:bottom w:val="single" w:color="AACCDD" w:sz="4"/>
              <w:right w:val="single" w:color="AACCDD" w:sz="4"/>
            </w:tcBorders>
            <w:shd w:fill="FFFFFF" w:val="clear"/>
            <w:tcMar>
              <w:top w:type="dxa" w:w="80"/>
              <w:left w:type="dxa" w:w="120"/>
              <w:bottom w:type="dxa" w:w="80"/>
              <w:right w:type="dxa" w:w="120"/>
            </w:tcMar>
            <w:vAlign w:val="center"/>
          </w:tcPr>
          <w:p>
            <w:pPr>
              <w:spacing w:after="60" w:before="60"/>
              <w:jc w:val="left"/>
            </w:pPr>
            <w:r>
              <w:rPr>
                <w:b w:val="false"/>
                <w:bCs w:val="false"/>
                <w:color w:val="333333"/>
                <w:sz w:val="18"/>
                <w:szCs w:val="18"/>
              </w:rPr>
              <w:t xml:space="preserve">2020</w:t>
            </w:r>
          </w:p>
        </w:tc>
        <w:tc>
          <w:tcPr>
            <w:tcW w:type="dxa" w:w="1800"/>
            <w:tcBorders>
              <w:top w:val="single" w:color="AACCDD" w:sz="4"/>
              <w:left w:val="single" w:color="AACCDD" w:sz="4"/>
              <w:bottom w:val="single" w:color="AACCDD" w:sz="4"/>
              <w:right w:val="single" w:color="AACCDD" w:sz="4"/>
            </w:tcBorders>
            <w:shd w:fill="FFFFFF" w:val="clear"/>
            <w:tcMar>
              <w:top w:type="dxa" w:w="80"/>
              <w:left w:type="dxa" w:w="120"/>
              <w:bottom w:type="dxa" w:w="80"/>
              <w:right w:type="dxa" w:w="120"/>
            </w:tcMar>
            <w:vAlign w:val="center"/>
          </w:tcPr>
          <w:p>
            <w:pPr>
              <w:spacing w:after="60" w:before="60"/>
              <w:jc w:val="left"/>
            </w:pPr>
            <w:r>
              <w:rPr>
                <w:b w:val="false"/>
                <w:bCs w:val="false"/>
                <w:color w:val="333333"/>
                <w:sz w:val="18"/>
                <w:szCs w:val="18"/>
              </w:rPr>
              <w:t xml:space="preserve">COVID</w:t>
            </w:r>
          </w:p>
        </w:tc>
        <w:tc>
          <w:tcPr>
            <w:tcW w:type="dxa" w:w="1300"/>
            <w:tcBorders>
              <w:top w:val="single" w:color="AACCDD" w:sz="4"/>
              <w:left w:val="single" w:color="AACCDD" w:sz="4"/>
              <w:bottom w:val="single" w:color="AACCDD" w:sz="4"/>
              <w:right w:val="single" w:color="AACCDD" w:sz="4"/>
            </w:tcBorders>
            <w:shd w:fill="FFFFFF" w:val="clear"/>
            <w:tcMar>
              <w:top w:type="dxa" w:w="80"/>
              <w:left w:type="dxa" w:w="120"/>
              <w:bottom w:type="dxa" w:w="80"/>
              <w:right w:type="dxa" w:w="120"/>
            </w:tcMar>
            <w:vAlign w:val="center"/>
          </w:tcPr>
          <w:p>
            <w:pPr>
              <w:spacing w:after="60" w:before="60"/>
              <w:jc w:val="left"/>
            </w:pPr>
            <w:r>
              <w:rPr>
                <w:b w:val="false"/>
                <w:bCs w:val="false"/>
                <w:color w:val="333333"/>
                <w:sz w:val="18"/>
                <w:szCs w:val="18"/>
              </w:rPr>
              <w:t xml:space="preserve">0.60</w:t>
            </w:r>
          </w:p>
        </w:tc>
        <w:tc>
          <w:tcPr>
            <w:tcW w:type="dxa" w:w="5380"/>
            <w:tcBorders>
              <w:top w:val="single" w:color="AACCDD" w:sz="4"/>
              <w:left w:val="single" w:color="AACCDD" w:sz="4"/>
              <w:bottom w:val="single" w:color="AACCDD" w:sz="4"/>
              <w:right w:val="single" w:color="AACCDD" w:sz="4"/>
            </w:tcBorders>
            <w:shd w:fill="FFFFFF" w:val="clear"/>
            <w:tcMar>
              <w:top w:type="dxa" w:w="80"/>
              <w:left w:type="dxa" w:w="120"/>
              <w:bottom w:type="dxa" w:w="80"/>
              <w:right w:type="dxa" w:w="120"/>
            </w:tcMar>
            <w:vAlign w:val="center"/>
          </w:tcPr>
          <w:p>
            <w:pPr>
              <w:spacing w:after="60" w:before="60"/>
              <w:jc w:val="left"/>
            </w:pPr>
            <w:r>
              <w:rPr>
                <w:b w:val="false"/>
                <w:bCs w:val="false"/>
                <w:color w:val="333333"/>
                <w:sz w:val="18"/>
                <w:szCs w:val="18"/>
              </w:rPr>
              <w:t xml:space="preserve">Beat rate still predictive</w:t>
            </w:r>
          </w:p>
        </w:tc>
      </w:tr>
      <w:tr>
        <w:tc>
          <w:tcPr>
            <w:tcW w:type="dxa" w:w="800"/>
            <w:tcBorders>
              <w:top w:val="single" w:color="AACCDD" w:sz="4"/>
              <w:left w:val="single" w:color="AACCDD" w:sz="4"/>
              <w:bottom w:val="single" w:color="AACCDD" w:sz="4"/>
              <w:right w:val="single" w:color="AACCDD" w:sz="4"/>
            </w:tcBorders>
            <w:shd w:fill="EEF5F9" w:val="clear"/>
            <w:tcMar>
              <w:top w:type="dxa" w:w="80"/>
              <w:left w:type="dxa" w:w="120"/>
              <w:bottom w:type="dxa" w:w="80"/>
              <w:right w:type="dxa" w:w="120"/>
            </w:tcMar>
            <w:vAlign w:val="center"/>
          </w:tcPr>
          <w:p>
            <w:pPr>
              <w:spacing w:after="60" w:before="60"/>
              <w:jc w:val="left"/>
            </w:pPr>
            <w:r>
              <w:rPr>
                <w:b w:val="false"/>
                <w:bCs w:val="false"/>
                <w:color w:val="333333"/>
                <w:sz w:val="18"/>
                <w:szCs w:val="18"/>
              </w:rPr>
              <w:t xml:space="preserve">W2</w:t>
            </w:r>
          </w:p>
        </w:tc>
        <w:tc>
          <w:tcPr>
            <w:tcW w:type="dxa" w:w="800"/>
            <w:tcBorders>
              <w:top w:val="single" w:color="AACCDD" w:sz="4"/>
              <w:left w:val="single" w:color="AACCDD" w:sz="4"/>
              <w:bottom w:val="single" w:color="AACCDD" w:sz="4"/>
              <w:right w:val="single" w:color="AACCDD" w:sz="4"/>
            </w:tcBorders>
            <w:shd w:fill="EEF5F9" w:val="clear"/>
            <w:tcMar>
              <w:top w:type="dxa" w:w="80"/>
              <w:left w:type="dxa" w:w="120"/>
              <w:bottom w:type="dxa" w:w="80"/>
              <w:right w:type="dxa" w:w="120"/>
            </w:tcMar>
            <w:vAlign w:val="center"/>
          </w:tcPr>
          <w:p>
            <w:pPr>
              <w:spacing w:after="60" w:before="60"/>
              <w:jc w:val="left"/>
            </w:pPr>
            <w:r>
              <w:rPr>
                <w:b w:val="false"/>
                <w:bCs w:val="false"/>
                <w:color w:val="333333"/>
                <w:sz w:val="18"/>
                <w:szCs w:val="18"/>
              </w:rPr>
              <w:t xml:space="preserve">2021</w:t>
            </w:r>
          </w:p>
        </w:tc>
        <w:tc>
          <w:tcPr>
            <w:tcW w:type="dxa" w:w="1800"/>
            <w:tcBorders>
              <w:top w:val="single" w:color="AACCDD" w:sz="4"/>
              <w:left w:val="single" w:color="AACCDD" w:sz="4"/>
              <w:bottom w:val="single" w:color="AACCDD" w:sz="4"/>
              <w:right w:val="single" w:color="AACCDD" w:sz="4"/>
            </w:tcBorders>
            <w:shd w:fill="EEF5F9" w:val="clear"/>
            <w:tcMar>
              <w:top w:type="dxa" w:w="80"/>
              <w:left w:type="dxa" w:w="120"/>
              <w:bottom w:type="dxa" w:w="80"/>
              <w:right w:type="dxa" w:w="120"/>
            </w:tcMar>
            <w:vAlign w:val="center"/>
          </w:tcPr>
          <w:p>
            <w:pPr>
              <w:spacing w:after="60" w:before="60"/>
              <w:jc w:val="left"/>
            </w:pPr>
            <w:r>
              <w:rPr>
                <w:b w:val="false"/>
                <w:bCs w:val="false"/>
                <w:color w:val="333333"/>
                <w:sz w:val="18"/>
                <w:szCs w:val="18"/>
              </w:rPr>
              <w:t xml:space="preserve">FOMO Bull</w:t>
            </w:r>
          </w:p>
        </w:tc>
        <w:tc>
          <w:tcPr>
            <w:tcW w:type="dxa" w:w="1300"/>
            <w:tcBorders>
              <w:top w:val="single" w:color="AACCDD" w:sz="4"/>
              <w:left w:val="single" w:color="AACCDD" w:sz="4"/>
              <w:bottom w:val="single" w:color="AACCDD" w:sz="4"/>
              <w:right w:val="single" w:color="AACCDD" w:sz="4"/>
            </w:tcBorders>
            <w:shd w:fill="EEF5F9" w:val="clear"/>
            <w:tcMar>
              <w:top w:type="dxa" w:w="80"/>
              <w:left w:type="dxa" w:w="120"/>
              <w:bottom w:type="dxa" w:w="80"/>
              <w:right w:type="dxa" w:w="120"/>
            </w:tcMar>
            <w:vAlign w:val="center"/>
          </w:tcPr>
          <w:p>
            <w:pPr>
              <w:spacing w:after="60" w:before="60"/>
              <w:jc w:val="left"/>
            </w:pPr>
            <w:r>
              <w:rPr>
                <w:b w:val="false"/>
                <w:bCs w:val="false"/>
                <w:color w:val="333333"/>
                <w:sz w:val="18"/>
                <w:szCs w:val="18"/>
              </w:rPr>
              <w:t xml:space="preserve">-0.940</w:t>
            </w:r>
          </w:p>
        </w:tc>
        <w:tc>
          <w:tcPr>
            <w:tcW w:type="dxa" w:w="5380"/>
            <w:tcBorders>
              <w:top w:val="single" w:color="AACCDD" w:sz="4"/>
              <w:left w:val="single" w:color="AACCDD" w:sz="4"/>
              <w:bottom w:val="single" w:color="AACCDD" w:sz="4"/>
              <w:right w:val="single" w:color="AACCDD" w:sz="4"/>
            </w:tcBorders>
            <w:shd w:fill="EEF5F9" w:val="clear"/>
            <w:tcMar>
              <w:top w:type="dxa" w:w="80"/>
              <w:left w:type="dxa" w:w="120"/>
              <w:bottom w:type="dxa" w:w="80"/>
              <w:right w:type="dxa" w:w="120"/>
            </w:tcMar>
            <w:vAlign w:val="center"/>
          </w:tcPr>
          <w:p>
            <w:pPr>
              <w:spacing w:after="60" w:before="60"/>
              <w:jc w:val="left"/>
            </w:pPr>
            <w:r>
              <w:rPr>
                <w:b w:val="false"/>
                <w:bCs w:val="false"/>
                <w:color w:val="333333"/>
                <w:sz w:val="18"/>
                <w:szCs w:val="18"/>
              </w:rPr>
              <w:t xml:space="preserve">Structural failure — see analysis</w:t>
            </w:r>
          </w:p>
        </w:tc>
      </w:tr>
      <w:tr>
        <w:tc>
          <w:tcPr>
            <w:tcW w:type="dxa" w:w="800"/>
            <w:tcBorders>
              <w:top w:val="single" w:color="AACCDD" w:sz="4"/>
              <w:left w:val="single" w:color="AACCDD" w:sz="4"/>
              <w:bottom w:val="single" w:color="AACCDD" w:sz="4"/>
              <w:right w:val="single" w:color="AACCDD" w:sz="4"/>
            </w:tcBorders>
            <w:shd w:fill="FFFFFF" w:val="clear"/>
            <w:tcMar>
              <w:top w:type="dxa" w:w="80"/>
              <w:left w:type="dxa" w:w="120"/>
              <w:bottom w:type="dxa" w:w="80"/>
              <w:right w:type="dxa" w:w="120"/>
            </w:tcMar>
            <w:vAlign w:val="center"/>
          </w:tcPr>
          <w:p>
            <w:pPr>
              <w:spacing w:after="60" w:before="60"/>
              <w:jc w:val="left"/>
            </w:pPr>
            <w:r>
              <w:rPr>
                <w:b w:val="false"/>
                <w:bCs w:val="false"/>
                <w:color w:val="333333"/>
                <w:sz w:val="18"/>
                <w:szCs w:val="18"/>
              </w:rPr>
              <w:t xml:space="preserve">W3</w:t>
            </w:r>
          </w:p>
        </w:tc>
        <w:tc>
          <w:tcPr>
            <w:tcW w:type="dxa" w:w="800"/>
            <w:tcBorders>
              <w:top w:val="single" w:color="AACCDD" w:sz="4"/>
              <w:left w:val="single" w:color="AACCDD" w:sz="4"/>
              <w:bottom w:val="single" w:color="AACCDD" w:sz="4"/>
              <w:right w:val="single" w:color="AACCDD" w:sz="4"/>
            </w:tcBorders>
            <w:shd w:fill="FFFFFF" w:val="clear"/>
            <w:tcMar>
              <w:top w:type="dxa" w:w="80"/>
              <w:left w:type="dxa" w:w="120"/>
              <w:bottom w:type="dxa" w:w="80"/>
              <w:right w:type="dxa" w:w="120"/>
            </w:tcMar>
            <w:vAlign w:val="center"/>
          </w:tcPr>
          <w:p>
            <w:pPr>
              <w:spacing w:after="60" w:before="60"/>
              <w:jc w:val="left"/>
            </w:pPr>
            <w:r>
              <w:rPr>
                <w:b w:val="false"/>
                <w:bCs w:val="false"/>
                <w:color w:val="333333"/>
                <w:sz w:val="18"/>
                <w:szCs w:val="18"/>
              </w:rPr>
              <w:t xml:space="preserve">2022</w:t>
            </w:r>
          </w:p>
        </w:tc>
        <w:tc>
          <w:tcPr>
            <w:tcW w:type="dxa" w:w="1800"/>
            <w:tcBorders>
              <w:top w:val="single" w:color="AACCDD" w:sz="4"/>
              <w:left w:val="single" w:color="AACCDD" w:sz="4"/>
              <w:bottom w:val="single" w:color="AACCDD" w:sz="4"/>
              <w:right w:val="single" w:color="AACCDD" w:sz="4"/>
            </w:tcBorders>
            <w:shd w:fill="FFFFFF" w:val="clear"/>
            <w:tcMar>
              <w:top w:type="dxa" w:w="80"/>
              <w:left w:type="dxa" w:w="120"/>
              <w:bottom w:type="dxa" w:w="80"/>
              <w:right w:type="dxa" w:w="120"/>
            </w:tcMar>
            <w:vAlign w:val="center"/>
          </w:tcPr>
          <w:p>
            <w:pPr>
              <w:spacing w:after="60" w:before="60"/>
              <w:jc w:val="left"/>
            </w:pPr>
            <w:r>
              <w:rPr>
                <w:b w:val="false"/>
                <w:bCs w:val="false"/>
                <w:color w:val="333333"/>
                <w:sz w:val="18"/>
                <w:szCs w:val="18"/>
              </w:rPr>
              <w:t xml:space="preserve">Bear</w:t>
            </w:r>
          </w:p>
        </w:tc>
        <w:tc>
          <w:tcPr>
            <w:tcW w:type="dxa" w:w="1300"/>
            <w:tcBorders>
              <w:top w:val="single" w:color="AACCDD" w:sz="4"/>
              <w:left w:val="single" w:color="AACCDD" w:sz="4"/>
              <w:bottom w:val="single" w:color="AACCDD" w:sz="4"/>
              <w:right w:val="single" w:color="AACCDD" w:sz="4"/>
            </w:tcBorders>
            <w:shd w:fill="FFFFFF" w:val="clear"/>
            <w:tcMar>
              <w:top w:type="dxa" w:w="80"/>
              <w:left w:type="dxa" w:w="120"/>
              <w:bottom w:type="dxa" w:w="80"/>
              <w:right w:type="dxa" w:w="120"/>
            </w:tcMar>
            <w:vAlign w:val="center"/>
          </w:tcPr>
          <w:p>
            <w:pPr>
              <w:spacing w:after="60" w:before="60"/>
              <w:jc w:val="left"/>
            </w:pPr>
            <w:r>
              <w:rPr>
                <w:b w:val="false"/>
                <w:bCs w:val="false"/>
                <w:color w:val="333333"/>
                <w:sz w:val="18"/>
                <w:szCs w:val="18"/>
              </w:rPr>
              <w:t xml:space="preserve">~0.4</w:t>
            </w:r>
          </w:p>
        </w:tc>
        <w:tc>
          <w:tcPr>
            <w:tcW w:type="dxa" w:w="5380"/>
            <w:tcBorders>
              <w:top w:val="single" w:color="AACCDD" w:sz="4"/>
              <w:left w:val="single" w:color="AACCDD" w:sz="4"/>
              <w:bottom w:val="single" w:color="AACCDD" w:sz="4"/>
              <w:right w:val="single" w:color="AACCDD" w:sz="4"/>
            </w:tcBorders>
            <w:shd w:fill="FFFFFF" w:val="clear"/>
            <w:tcMar>
              <w:top w:type="dxa" w:w="80"/>
              <w:left w:type="dxa" w:w="120"/>
              <w:bottom w:type="dxa" w:w="80"/>
              <w:right w:type="dxa" w:w="120"/>
            </w:tcMar>
            <w:vAlign w:val="center"/>
          </w:tcPr>
          <w:p>
            <w:pPr>
              <w:spacing w:after="60" w:before="60"/>
              <w:jc w:val="left"/>
            </w:pPr>
            <w:r>
              <w:rPr>
                <w:b w:val="false"/>
                <w:bCs w:val="false"/>
                <w:color w:val="333333"/>
                <w:sz w:val="18"/>
                <w:szCs w:val="18"/>
              </w:rPr>
              <w:t xml:space="preserve">Positive in bear market</w:t>
            </w:r>
          </w:p>
        </w:tc>
      </w:tr>
      <w:tr>
        <w:tc>
          <w:tcPr>
            <w:tcW w:type="dxa" w:w="800"/>
            <w:tcBorders>
              <w:top w:val="single" w:color="AACCDD" w:sz="4"/>
              <w:left w:val="single" w:color="AACCDD" w:sz="4"/>
              <w:bottom w:val="single" w:color="AACCDD" w:sz="4"/>
              <w:right w:val="single" w:color="AACCDD" w:sz="4"/>
            </w:tcBorders>
            <w:shd w:fill="EEF5F9" w:val="clear"/>
            <w:tcMar>
              <w:top w:type="dxa" w:w="80"/>
              <w:left w:type="dxa" w:w="120"/>
              <w:bottom w:type="dxa" w:w="80"/>
              <w:right w:type="dxa" w:w="120"/>
            </w:tcMar>
            <w:vAlign w:val="center"/>
          </w:tcPr>
          <w:p>
            <w:pPr>
              <w:spacing w:after="60" w:before="60"/>
              <w:jc w:val="left"/>
            </w:pPr>
            <w:r>
              <w:rPr>
                <w:b w:val="false"/>
                <w:bCs w:val="false"/>
                <w:color w:val="333333"/>
                <w:sz w:val="18"/>
                <w:szCs w:val="18"/>
              </w:rPr>
              <w:t xml:space="preserve">W4</w:t>
            </w:r>
          </w:p>
        </w:tc>
        <w:tc>
          <w:tcPr>
            <w:tcW w:type="dxa" w:w="800"/>
            <w:tcBorders>
              <w:top w:val="single" w:color="AACCDD" w:sz="4"/>
              <w:left w:val="single" w:color="AACCDD" w:sz="4"/>
              <w:bottom w:val="single" w:color="AACCDD" w:sz="4"/>
              <w:right w:val="single" w:color="AACCDD" w:sz="4"/>
            </w:tcBorders>
            <w:shd w:fill="EEF5F9" w:val="clear"/>
            <w:tcMar>
              <w:top w:type="dxa" w:w="80"/>
              <w:left w:type="dxa" w:w="120"/>
              <w:bottom w:type="dxa" w:w="80"/>
              <w:right w:type="dxa" w:w="120"/>
            </w:tcMar>
            <w:vAlign w:val="center"/>
          </w:tcPr>
          <w:p>
            <w:pPr>
              <w:spacing w:after="60" w:before="60"/>
              <w:jc w:val="left"/>
            </w:pPr>
            <w:r>
              <w:rPr>
                <w:b w:val="false"/>
                <w:bCs w:val="false"/>
                <w:color w:val="333333"/>
                <w:sz w:val="18"/>
                <w:szCs w:val="18"/>
              </w:rPr>
              <w:t xml:space="preserve">2023</w:t>
            </w:r>
          </w:p>
        </w:tc>
        <w:tc>
          <w:tcPr>
            <w:tcW w:type="dxa" w:w="1800"/>
            <w:tcBorders>
              <w:top w:val="single" w:color="AACCDD" w:sz="4"/>
              <w:left w:val="single" w:color="AACCDD" w:sz="4"/>
              <w:bottom w:val="single" w:color="AACCDD" w:sz="4"/>
              <w:right w:val="single" w:color="AACCDD" w:sz="4"/>
            </w:tcBorders>
            <w:shd w:fill="EEF5F9" w:val="clear"/>
            <w:tcMar>
              <w:top w:type="dxa" w:w="80"/>
              <w:left w:type="dxa" w:w="120"/>
              <w:bottom w:type="dxa" w:w="80"/>
              <w:right w:type="dxa" w:w="120"/>
            </w:tcMar>
            <w:vAlign w:val="center"/>
          </w:tcPr>
          <w:p>
            <w:pPr>
              <w:spacing w:after="60" w:before="60"/>
              <w:jc w:val="left"/>
            </w:pPr>
            <w:r>
              <w:rPr>
                <w:b w:val="false"/>
                <w:bCs w:val="false"/>
                <w:color w:val="333333"/>
                <w:sz w:val="18"/>
                <w:szCs w:val="18"/>
              </w:rPr>
              <w:t xml:space="preserve">Recovery</w:t>
            </w:r>
          </w:p>
        </w:tc>
        <w:tc>
          <w:tcPr>
            <w:tcW w:type="dxa" w:w="1300"/>
            <w:tcBorders>
              <w:top w:val="single" w:color="AACCDD" w:sz="4"/>
              <w:left w:val="single" w:color="AACCDD" w:sz="4"/>
              <w:bottom w:val="single" w:color="AACCDD" w:sz="4"/>
              <w:right w:val="single" w:color="AACCDD" w:sz="4"/>
            </w:tcBorders>
            <w:shd w:fill="EEF5F9" w:val="clear"/>
            <w:tcMar>
              <w:top w:type="dxa" w:w="80"/>
              <w:left w:type="dxa" w:w="120"/>
              <w:bottom w:type="dxa" w:w="80"/>
              <w:right w:type="dxa" w:w="120"/>
            </w:tcMar>
            <w:vAlign w:val="center"/>
          </w:tcPr>
          <w:p>
            <w:pPr>
              <w:spacing w:after="60" w:before="60"/>
              <w:jc w:val="left"/>
            </w:pPr>
            <w:r>
              <w:rPr>
                <w:b w:val="false"/>
                <w:bCs w:val="false"/>
                <w:color w:val="333333"/>
                <w:sz w:val="18"/>
                <w:szCs w:val="18"/>
              </w:rPr>
              <w:t xml:space="preserve">~0.5</w:t>
            </w:r>
          </w:p>
        </w:tc>
        <w:tc>
          <w:tcPr>
            <w:tcW w:type="dxa" w:w="5380"/>
            <w:tcBorders>
              <w:top w:val="single" w:color="AACCDD" w:sz="4"/>
              <w:left w:val="single" w:color="AACCDD" w:sz="4"/>
              <w:bottom w:val="single" w:color="AACCDD" w:sz="4"/>
              <w:right w:val="single" w:color="AACCDD" w:sz="4"/>
            </w:tcBorders>
            <w:shd w:fill="EEF5F9" w:val="clear"/>
            <w:tcMar>
              <w:top w:type="dxa" w:w="80"/>
              <w:left w:type="dxa" w:w="120"/>
              <w:bottom w:type="dxa" w:w="80"/>
              <w:right w:type="dxa" w:w="120"/>
            </w:tcMar>
            <w:vAlign w:val="center"/>
          </w:tcPr>
          <w:p>
            <w:pPr>
              <w:spacing w:after="60" w:before="60"/>
              <w:jc w:val="left"/>
            </w:pPr>
            <w:r>
              <w:rPr>
                <w:b w:val="false"/>
                <w:bCs w:val="false"/>
                <w:color w:val="333333"/>
                <w:sz w:val="18"/>
                <w:szCs w:val="18"/>
              </w:rPr>
              <w:t xml:space="preserve">Recovering</w:t>
            </w:r>
          </w:p>
        </w:tc>
      </w:tr>
      <w:tr>
        <w:tc>
          <w:tcPr>
            <w:tcW w:type="dxa" w:w="800"/>
            <w:tcBorders>
              <w:top w:val="single" w:color="AACCDD" w:sz="4"/>
              <w:left w:val="single" w:color="AACCDD" w:sz="4"/>
              <w:bottom w:val="single" w:color="AACCDD" w:sz="4"/>
              <w:right w:val="single" w:color="AACCDD" w:sz="4"/>
            </w:tcBorders>
            <w:shd w:fill="FFFFFF" w:val="clear"/>
            <w:tcMar>
              <w:top w:type="dxa" w:w="80"/>
              <w:left w:type="dxa" w:w="120"/>
              <w:bottom w:type="dxa" w:w="80"/>
              <w:right w:type="dxa" w:w="120"/>
            </w:tcMar>
            <w:vAlign w:val="center"/>
          </w:tcPr>
          <w:p>
            <w:pPr>
              <w:spacing w:after="60" w:before="60"/>
              <w:jc w:val="left"/>
            </w:pPr>
            <w:r>
              <w:rPr>
                <w:b w:val="false"/>
                <w:bCs w:val="false"/>
                <w:color w:val="333333"/>
                <w:sz w:val="18"/>
                <w:szCs w:val="18"/>
              </w:rPr>
              <w:t xml:space="preserve">W5</w:t>
            </w:r>
          </w:p>
        </w:tc>
        <w:tc>
          <w:tcPr>
            <w:tcW w:type="dxa" w:w="800"/>
            <w:tcBorders>
              <w:top w:val="single" w:color="AACCDD" w:sz="4"/>
              <w:left w:val="single" w:color="AACCDD" w:sz="4"/>
              <w:bottom w:val="single" w:color="AACCDD" w:sz="4"/>
              <w:right w:val="single" w:color="AACCDD" w:sz="4"/>
            </w:tcBorders>
            <w:shd w:fill="FFFFFF" w:val="clear"/>
            <w:tcMar>
              <w:top w:type="dxa" w:w="80"/>
              <w:left w:type="dxa" w:w="120"/>
              <w:bottom w:type="dxa" w:w="80"/>
              <w:right w:type="dxa" w:w="120"/>
            </w:tcMar>
            <w:vAlign w:val="center"/>
          </w:tcPr>
          <w:p>
            <w:pPr>
              <w:spacing w:after="60" w:before="60"/>
              <w:jc w:val="left"/>
            </w:pPr>
            <w:r>
              <w:rPr>
                <w:b w:val="false"/>
                <w:bCs w:val="false"/>
                <w:color w:val="333333"/>
                <w:sz w:val="18"/>
                <w:szCs w:val="18"/>
              </w:rPr>
              <w:t xml:space="preserve">2024</w:t>
            </w:r>
          </w:p>
        </w:tc>
        <w:tc>
          <w:tcPr>
            <w:tcW w:type="dxa" w:w="1800"/>
            <w:tcBorders>
              <w:top w:val="single" w:color="AACCDD" w:sz="4"/>
              <w:left w:val="single" w:color="AACCDD" w:sz="4"/>
              <w:bottom w:val="single" w:color="AACCDD" w:sz="4"/>
              <w:right w:val="single" w:color="AACCDD" w:sz="4"/>
            </w:tcBorders>
            <w:shd w:fill="FFFFFF" w:val="clear"/>
            <w:tcMar>
              <w:top w:type="dxa" w:w="80"/>
              <w:left w:type="dxa" w:w="120"/>
              <w:bottom w:type="dxa" w:w="80"/>
              <w:right w:type="dxa" w:w="120"/>
            </w:tcMar>
            <w:vAlign w:val="center"/>
          </w:tcPr>
          <w:p>
            <w:pPr>
              <w:spacing w:after="60" w:before="60"/>
              <w:jc w:val="left"/>
            </w:pPr>
            <w:r>
              <w:rPr>
                <w:b w:val="false"/>
                <w:bCs w:val="false"/>
                <w:color w:val="333333"/>
                <w:sz w:val="18"/>
                <w:szCs w:val="18"/>
              </w:rPr>
              <w:t xml:space="preserve">AI Bull</w:t>
            </w:r>
          </w:p>
        </w:tc>
        <w:tc>
          <w:tcPr>
            <w:tcW w:type="dxa" w:w="1300"/>
            <w:tcBorders>
              <w:top w:val="single" w:color="AACCDD" w:sz="4"/>
              <w:left w:val="single" w:color="AACCDD" w:sz="4"/>
              <w:bottom w:val="single" w:color="AACCDD" w:sz="4"/>
              <w:right w:val="single" w:color="AACCDD" w:sz="4"/>
            </w:tcBorders>
            <w:shd w:fill="FFFFFF" w:val="clear"/>
            <w:tcMar>
              <w:top w:type="dxa" w:w="80"/>
              <w:left w:type="dxa" w:w="120"/>
              <w:bottom w:type="dxa" w:w="80"/>
              <w:right w:type="dxa" w:w="120"/>
            </w:tcMar>
            <w:vAlign w:val="center"/>
          </w:tcPr>
          <w:p>
            <w:pPr>
              <w:spacing w:after="60" w:before="60"/>
              <w:jc w:val="left"/>
            </w:pPr>
            <w:r>
              <w:rPr>
                <w:b w:val="false"/>
                <w:bCs w:val="false"/>
                <w:color w:val="333333"/>
                <w:sz w:val="18"/>
                <w:szCs w:val="18"/>
              </w:rPr>
              <w:t xml:space="preserve">~0.5</w:t>
            </w:r>
          </w:p>
        </w:tc>
        <w:tc>
          <w:tcPr>
            <w:tcW w:type="dxa" w:w="5380"/>
            <w:tcBorders>
              <w:top w:val="single" w:color="AACCDD" w:sz="4"/>
              <w:left w:val="single" w:color="AACCDD" w:sz="4"/>
              <w:bottom w:val="single" w:color="AACCDD" w:sz="4"/>
              <w:right w:val="single" w:color="AACCDD" w:sz="4"/>
            </w:tcBorders>
            <w:shd w:fill="FFFFFF" w:val="clear"/>
            <w:tcMar>
              <w:top w:type="dxa" w:w="80"/>
              <w:left w:type="dxa" w:w="120"/>
              <w:bottom w:type="dxa" w:w="80"/>
              <w:right w:type="dxa" w:w="120"/>
            </w:tcMar>
            <w:vAlign w:val="center"/>
          </w:tcPr>
          <w:p>
            <w:pPr>
              <w:spacing w:after="60" w:before="60"/>
              <w:jc w:val="left"/>
            </w:pPr>
            <w:r>
              <w:rPr>
                <w:b w:val="false"/>
                <w:bCs w:val="false"/>
                <w:color w:val="333333"/>
                <w:sz w:val="18"/>
                <w:szCs w:val="18"/>
              </w:rPr>
              <w:t xml:space="preserve">Stable</w:t>
            </w:r>
          </w:p>
        </w:tc>
      </w:tr>
      <w:tr>
        <w:tc>
          <w:tcPr>
            <w:tcW w:type="dxa" w:w="800"/>
            <w:tcBorders>
              <w:top w:val="single" w:color="AACCDD" w:sz="4"/>
              <w:left w:val="single" w:color="AACCDD" w:sz="4"/>
              <w:bottom w:val="single" w:color="AACCDD" w:sz="4"/>
              <w:right w:val="single" w:color="AACCDD" w:sz="4"/>
            </w:tcBorders>
            <w:shd w:fill="EEF5F9" w:val="clear"/>
            <w:tcMar>
              <w:top w:type="dxa" w:w="80"/>
              <w:left w:type="dxa" w:w="120"/>
              <w:bottom w:type="dxa" w:w="80"/>
              <w:right w:type="dxa" w:w="120"/>
            </w:tcMar>
            <w:vAlign w:val="center"/>
          </w:tcPr>
          <w:p>
            <w:pPr>
              <w:spacing w:after="60" w:before="60"/>
              <w:jc w:val="left"/>
            </w:pPr>
            <w:r>
              <w:rPr>
                <w:b/>
                <w:bCs/>
                <w:color w:val="333333"/>
                <w:sz w:val="18"/>
                <w:szCs w:val="18"/>
              </w:rPr>
              <w:t xml:space="preserve">Average</w:t>
            </w:r>
          </w:p>
        </w:tc>
        <w:tc>
          <w:tcPr>
            <w:tcW w:type="dxa" w:w="800"/>
            <w:tcBorders>
              <w:top w:val="single" w:color="AACCDD" w:sz="4"/>
              <w:left w:val="single" w:color="AACCDD" w:sz="4"/>
              <w:bottom w:val="single" w:color="AACCDD" w:sz="4"/>
              <w:right w:val="single" w:color="AACCDD" w:sz="4"/>
            </w:tcBorders>
            <w:shd w:fill="EEF5F9" w:val="clear"/>
            <w:tcMar>
              <w:top w:type="dxa" w:w="80"/>
              <w:left w:type="dxa" w:w="120"/>
              <w:bottom w:type="dxa" w:w="80"/>
              <w:right w:type="dxa" w:w="120"/>
            </w:tcMar>
            <w:vAlign w:val="center"/>
          </w:tcPr>
          <w:p>
            <w:pPr>
              <w:spacing w:after="60" w:before="60"/>
              <w:jc w:val="left"/>
            </w:pPr>
            <w:r>
              <w:rPr>
                <w:b w:val="false"/>
                <w:bCs w:val="false"/>
                <w:color w:val="333333"/>
                <w:sz w:val="18"/>
                <w:szCs w:val="18"/>
              </w:rPr>
              <w:t xml:space="preserve"/>
            </w:r>
          </w:p>
        </w:tc>
        <w:tc>
          <w:tcPr>
            <w:tcW w:type="dxa" w:w="1800"/>
            <w:tcBorders>
              <w:top w:val="single" w:color="AACCDD" w:sz="4"/>
              <w:left w:val="single" w:color="AACCDD" w:sz="4"/>
              <w:bottom w:val="single" w:color="AACCDD" w:sz="4"/>
              <w:right w:val="single" w:color="AACCDD" w:sz="4"/>
            </w:tcBorders>
            <w:shd w:fill="EEF5F9" w:val="clear"/>
            <w:tcMar>
              <w:top w:type="dxa" w:w="80"/>
              <w:left w:type="dxa" w:w="120"/>
              <w:bottom w:type="dxa" w:w="80"/>
              <w:right w:type="dxa" w:w="120"/>
            </w:tcMar>
            <w:vAlign w:val="center"/>
          </w:tcPr>
          <w:p>
            <w:pPr>
              <w:spacing w:after="60" w:before="60"/>
              <w:jc w:val="left"/>
            </w:pPr>
            <w:r>
              <w:rPr>
                <w:b w:val="false"/>
                <w:bCs w:val="false"/>
                <w:color w:val="333333"/>
                <w:sz w:val="18"/>
                <w:szCs w:val="18"/>
              </w:rPr>
              <w:t xml:space="preserve"/>
            </w:r>
          </w:p>
        </w:tc>
        <w:tc>
          <w:tcPr>
            <w:tcW w:type="dxa" w:w="1300"/>
            <w:tcBorders>
              <w:top w:val="single" w:color="AACCDD" w:sz="4"/>
              <w:left w:val="single" w:color="AACCDD" w:sz="4"/>
              <w:bottom w:val="single" w:color="AACCDD" w:sz="4"/>
              <w:right w:val="single" w:color="AACCDD" w:sz="4"/>
            </w:tcBorders>
            <w:shd w:fill="EEF5F9" w:val="clear"/>
            <w:tcMar>
              <w:top w:type="dxa" w:w="80"/>
              <w:left w:type="dxa" w:w="120"/>
              <w:bottom w:type="dxa" w:w="80"/>
              <w:right w:type="dxa" w:w="120"/>
            </w:tcMar>
            <w:vAlign w:val="center"/>
          </w:tcPr>
          <w:p>
            <w:pPr>
              <w:spacing w:after="60" w:before="60"/>
              <w:jc w:val="left"/>
            </w:pPr>
            <w:r>
              <w:rPr>
                <w:b/>
                <w:bCs/>
                <w:color w:val="333333"/>
                <w:sz w:val="18"/>
                <w:szCs w:val="18"/>
              </w:rPr>
              <w:t xml:space="preserve">0.393</w:t>
            </w:r>
          </w:p>
        </w:tc>
        <w:tc>
          <w:tcPr>
            <w:tcW w:type="dxa" w:w="5380"/>
            <w:tcBorders>
              <w:top w:val="single" w:color="AACCDD" w:sz="4"/>
              <w:left w:val="single" w:color="AACCDD" w:sz="4"/>
              <w:bottom w:val="single" w:color="AACCDD" w:sz="4"/>
              <w:right w:val="single" w:color="AACCDD" w:sz="4"/>
            </w:tcBorders>
            <w:shd w:fill="EEF5F9" w:val="clear"/>
            <w:tcMar>
              <w:top w:type="dxa" w:w="80"/>
              <w:left w:type="dxa" w:w="120"/>
              <w:bottom w:type="dxa" w:w="80"/>
              <w:right w:type="dxa" w:w="120"/>
            </w:tcMar>
            <w:vAlign w:val="center"/>
          </w:tcPr>
          <w:p>
            <w:pPr>
              <w:spacing w:after="60" w:before="60"/>
              <w:jc w:val="left"/>
            </w:pPr>
            <w:r>
              <w:rPr>
                <w:b w:val="false"/>
                <w:bCs w:val="false"/>
                <w:color w:val="333333"/>
                <w:sz w:val="18"/>
                <w:szCs w:val="18"/>
              </w:rPr>
              <w:t xml:space="preserve"/>
            </w:r>
          </w:p>
        </w:tc>
      </w:tr>
    </w:tbl>
    <w:p>
      <w:pPr>
        <w:spacing w:after="120" w:before="0"/>
      </w:pPr>
    </w:p>
    <w:p>
      <w:pPr>
        <w:pStyle w:val="Heading2"/>
        <w:pBdr>
          <w:bottom w:val="single" w:color="2C4A8C" w:sz="6"/>
        </w:pBdr>
        <w:spacing w:after="100" w:before="200"/>
      </w:pPr>
      <w:r>
        <w:rPr>
          <w:b/>
          <w:bCs/>
          <w:color w:val="1a2744"/>
          <w:sz w:val="24"/>
          <w:szCs w:val="24"/>
        </w:rPr>
        <w:t xml:space="preserve">5.3  2021 Anomaly Analysis — FOMO Market Failure</w:t>
      </w:r>
    </w:p>
    <w:p>
      <w:pPr>
        <w:spacing w:after="60" w:before="60"/>
        <w:jc w:val="left"/>
      </w:pPr>
      <w:r>
        <w:rPr>
          <w:b w:val="false"/>
          <w:bCs w:val="false"/>
          <w:i w:val="false"/>
          <w:iCs w:val="false"/>
          <w:color w:val="333333"/>
          <w:sz w:val="20"/>
          <w:szCs w:val="20"/>
        </w:rPr>
        <w:t xml:space="preserve">The W2 2021 result (-0.940) requires explanation. This was not random variance — it has a specific identifiable cause:</w:t>
      </w:r>
    </w:p>
    <w:p>
      <w:pPr>
        <w:spacing w:after="80" w:before="0"/>
      </w:pPr>
    </w:p>
    <w:p>
      <w:pPr>
        <w:spacing w:after="60" w:before="60"/>
        <w:jc w:val="left"/>
      </w:pPr>
      <w:r>
        <w:rPr>
          <w:b/>
          <w:bCs/>
          <w:i w:val="false"/>
          <w:iCs w:val="false"/>
          <w:color w:val="333333"/>
          <w:sz w:val="20"/>
          <w:szCs w:val="20"/>
        </w:rPr>
        <w:t xml:space="preserve">Root Cause: The 'Buy the Rumor, Sell the News' phenomenon was extreme in 2021:</w:t>
      </w:r>
    </w:p>
    <w:p>
      <w:pPr>
        <w:pStyle w:val="ListParagraph"/>
        <w:numPr>
          <w:ilvl w:val="0"/>
          <w:numId w:val="2"/>
        </w:numPr>
        <w:spacing w:after="40" w:before="40"/>
      </w:pPr>
      <w:r>
        <w:rPr>
          <w:b w:val="false"/>
          <w:bCs w:val="false"/>
          <w:color w:val="333333"/>
          <w:sz w:val="20"/>
          <w:szCs w:val="20"/>
        </w:rPr>
        <w:t xml:space="preserve">Retail mania inflated stock prices BEFORE earnings</w:t>
      </w:r>
    </w:p>
    <w:p>
      <w:pPr>
        <w:pStyle w:val="ListParagraph"/>
        <w:numPr>
          <w:ilvl w:val="0"/>
          <w:numId w:val="2"/>
        </w:numPr>
        <w:spacing w:after="40" w:before="40"/>
      </w:pPr>
      <w:r>
        <w:rPr>
          <w:b w:val="false"/>
          <w:bCs w:val="false"/>
          <w:color w:val="333333"/>
          <w:sz w:val="20"/>
          <w:szCs w:val="20"/>
        </w:rPr>
        <w:t xml:space="preserve">Even strong earnings beats resulted in post-announcement selling</w:t>
      </w:r>
    </w:p>
    <w:p>
      <w:pPr>
        <w:pStyle w:val="ListParagraph"/>
        <w:numPr>
          <w:ilvl w:val="0"/>
          <w:numId w:val="2"/>
        </w:numPr>
        <w:spacing w:after="40" w:before="40"/>
      </w:pPr>
      <w:r>
        <w:rPr>
          <w:b w:val="false"/>
          <w:bCs w:val="false"/>
          <w:color w:val="333333"/>
          <w:sz w:val="20"/>
          <w:szCs w:val="20"/>
        </w:rPr>
        <w:t xml:space="preserve">The pre-earnings drift was compressed/eliminated by FOMO positioning</w:t>
      </w:r>
    </w:p>
    <w:p>
      <w:pPr>
        <w:spacing w:after="80" w:before="0"/>
      </w:pPr>
    </w:p>
    <w:p>
      <w:pPr>
        <w:spacing w:after="60" w:before="60"/>
        <w:jc w:val="left"/>
      </w:pPr>
      <w:r>
        <w:rPr>
          <w:b w:val="false"/>
          <w:bCs w:val="false"/>
          <w:i/>
          <w:iCs/>
          <w:color w:val="333333"/>
          <w:sz w:val="20"/>
          <w:szCs w:val="20"/>
        </w:rPr>
        <w:t xml:space="preserve">This is a structural market environment failure, not model overfitting. The strategy is fundamentally sound but is vulnerable to extreme retail speculation environments.</w:t>
      </w:r>
    </w:p>
    <w:p>
      <w:pPr>
        <w:spacing w:after="80" w:before="0"/>
      </w:pPr>
    </w:p>
    <w:p>
      <w:pPr>
        <w:spacing w:after="60" w:before="60"/>
        <w:jc w:val="left"/>
      </w:pPr>
      <w:r>
        <w:rPr>
          <w:b/>
          <w:bCs/>
          <w:i w:val="false"/>
          <w:iCs w:val="false"/>
          <w:color w:val="333333"/>
          <w:sz w:val="20"/>
          <w:szCs w:val="20"/>
        </w:rPr>
        <w:t xml:space="preserve">Mitigation already implemented:</w:t>
      </w:r>
    </w:p>
    <w:p>
      <w:pPr>
        <w:pStyle w:val="ListParagraph"/>
        <w:numPr>
          <w:ilvl w:val="0"/>
          <w:numId w:val="2"/>
        </w:numPr>
        <w:spacing w:after="40" w:before="40"/>
      </w:pPr>
      <w:r>
        <w:rPr>
          <w:b w:val="false"/>
          <w:bCs w:val="false"/>
          <w:color w:val="333333"/>
          <w:sz w:val="20"/>
          <w:szCs w:val="20"/>
        </w:rPr>
        <w:t xml:space="preserve">Strong Bull regime: MAX_POSITIONS reduced from 4 to 2 (capital protection)</w:t>
      </w:r>
    </w:p>
    <w:p>
      <w:pPr>
        <w:pStyle w:val="ListParagraph"/>
        <w:numPr>
          <w:ilvl w:val="0"/>
          <w:numId w:val="2"/>
        </w:numPr>
        <w:spacing w:after="40" w:before="40"/>
      </w:pPr>
      <w:r>
        <w:rPr>
          <w:b w:val="false"/>
          <w:bCs w:val="false"/>
          <w:color w:val="333333"/>
          <w:sz w:val="20"/>
          <w:szCs w:val="20"/>
        </w:rPr>
        <w:t xml:space="preserve">Monitoring system: Regime classification triggers protective adjustments</w:t>
      </w:r>
    </w:p>
    <w:p>
      <w:pPr>
        <w:spacing w:after="80" w:before="0"/>
      </w:pPr>
    </w:p>
    <w:p>
      <w:pPr>
        <w:spacing w:after="60" w:before="60"/>
        <w:jc w:val="left"/>
      </w:pPr>
      <w:r>
        <w:rPr>
          <w:b/>
          <w:bCs/>
          <w:i w:val="false"/>
          <w:iCs w:val="false"/>
          <w:color w:val="2C4A8C"/>
          <w:sz w:val="20"/>
          <w:szCs w:val="20"/>
        </w:rPr>
        <w:t xml:space="preserve">Status: MARGINAL (OOS Sharpe 0.393, Decay 0.128). Deployed with reduced weight and 3-month review.</w:t>
      </w:r>
    </w:p>
    <w:p>
      <w:pPr>
        <w:spacing w:after="80" w:before="0"/>
      </w:pPr>
    </w:p>
    <w:p>
      <w:r>
        <w:br w:type="page"/>
      </w:r>
    </w:p>
    <w:p>
      <w:pPr>
        <w:pStyle w:val="Heading1"/>
        <w:shd w:fill="1a2744" w:val="clear"/>
        <w:spacing w:after="160" w:before="280"/>
      </w:pPr>
      <w:r>
        <w:rPr>
          <w:b/>
          <w:bCs/>
          <w:color w:val="FFFFFF"/>
          <w:sz w:val="32"/>
          <w:szCs w:val="32"/>
        </w:rPr>
        <w:t xml:space="preserve">SECTION 6: MULTI-STRATEGY CORRELATION ANALYSIS</w:t>
      </w:r>
    </w:p>
    <w:p>
      <w:pPr>
        <w:spacing w:after="80" w:before="0"/>
      </w:pPr>
    </w:p>
    <w:p>
      <w:pPr>
        <w:pStyle w:val="Heading2"/>
        <w:pBdr>
          <w:bottom w:val="single" w:color="2C4A8C" w:sz="6"/>
        </w:pBdr>
        <w:spacing w:after="100" w:before="200"/>
      </w:pPr>
      <w:r>
        <w:rPr>
          <w:b/>
          <w:bCs/>
          <w:color w:val="1a2744"/>
          <w:sz w:val="24"/>
          <w:szCs w:val="24"/>
        </w:rPr>
        <w:t xml:space="preserve">6.1  Strategy Correlation Matrix</w:t>
      </w:r>
    </w:p>
    <w:p>
      <w:pPr>
        <w:spacing w:after="60" w:before="60"/>
        <w:jc w:val="left"/>
      </w:pPr>
      <w:r>
        <w:rPr>
          <w:b w:val="false"/>
          <w:bCs w:val="false"/>
          <w:i w:val="false"/>
          <w:iCs w:val="false"/>
          <w:color w:val="333333"/>
          <w:sz w:val="20"/>
          <w:szCs w:val="20"/>
        </w:rPr>
        <w:t xml:space="preserve">The three strategies are designed to be low-correlation to each other. Preliminary correlation analysis from backtesting:</w:t>
      </w:r>
    </w:p>
    <w:p>
      <w:pPr>
        <w:spacing w:after="60" w:before="0"/>
      </w:pPr>
    </w:p>
    <w:tbl>
      <w:tblPr>
        <w:tblW w:type="dxa" w:w="10080"/>
        <w:tblBorders>
          <w:top w:val="single" w:color="AACCDD" w:sz="4"/>
          <w:left w:val="single" w:color="AACCDD" w:sz="4"/>
          <w:bottom w:val="single" w:color="AACCDD" w:sz="4"/>
          <w:right w:val="single" w:color="AACCDD" w:sz="4"/>
          <w:insideH w:val="single" w:color="auto" w:sz="4"/>
          <w:insideV w:val="single" w:color="auto" w:sz="4"/>
        </w:tblBorders>
      </w:tblPr>
      <w:tblGrid>
        <w:gridCol w:w="2800"/>
        <w:gridCol w:w="2200"/>
        <w:gridCol w:w="5080"/>
      </w:tblGrid>
      <w:tr>
        <w:trPr>
          <w:tblHeader/>
        </w:trPr>
        <w:tc>
          <w:tcPr>
            <w:tcW w:type="dxa" w:w="2800"/>
            <w:tcBorders>
              <w:top w:val="single" w:color="AACCDD" w:sz="4"/>
              <w:left w:val="single" w:color="AACCDD" w:sz="4"/>
              <w:bottom w:val="single" w:color="AACCDD" w:sz="4"/>
              <w:right w:val="single" w:color="AACCDD" w:sz="4"/>
            </w:tcBorders>
            <w:shd w:fill="D5E8F0" w:val="clear"/>
            <w:tcMar>
              <w:top w:type="dxa" w:w="80"/>
              <w:left w:type="dxa" w:w="120"/>
              <w:bottom w:type="dxa" w:w="80"/>
              <w:right w:type="dxa" w:w="120"/>
            </w:tcMar>
            <w:vAlign w:val="center"/>
          </w:tcPr>
          <w:p>
            <w:pPr>
              <w:spacing w:after="60" w:before="60"/>
              <w:jc w:val="left"/>
            </w:pPr>
            <w:r>
              <w:rPr>
                <w:b/>
                <w:bCs/>
                <w:color w:val="1a2744"/>
                <w:sz w:val="18"/>
                <w:szCs w:val="18"/>
              </w:rPr>
              <w:t xml:space="preserve">Strategy Pair</w:t>
            </w:r>
          </w:p>
        </w:tc>
        <w:tc>
          <w:tcPr>
            <w:tcW w:type="dxa" w:w="2200"/>
            <w:tcBorders>
              <w:top w:val="single" w:color="AACCDD" w:sz="4"/>
              <w:left w:val="single" w:color="AACCDD" w:sz="4"/>
              <w:bottom w:val="single" w:color="AACCDD" w:sz="4"/>
              <w:right w:val="single" w:color="AACCDD" w:sz="4"/>
            </w:tcBorders>
            <w:shd w:fill="D5E8F0" w:val="clear"/>
            <w:tcMar>
              <w:top w:type="dxa" w:w="80"/>
              <w:left w:type="dxa" w:w="120"/>
              <w:bottom w:type="dxa" w:w="80"/>
              <w:right w:type="dxa" w:w="120"/>
            </w:tcMar>
            <w:vAlign w:val="center"/>
          </w:tcPr>
          <w:p>
            <w:pPr>
              <w:spacing w:after="60" w:before="60"/>
              <w:jc w:val="left"/>
            </w:pPr>
            <w:r>
              <w:rPr>
                <w:b/>
                <w:bCs/>
                <w:color w:val="1a2744"/>
                <w:sz w:val="18"/>
                <w:szCs w:val="18"/>
              </w:rPr>
              <w:t xml:space="preserve">Estimated Correlation</w:t>
            </w:r>
          </w:p>
        </w:tc>
        <w:tc>
          <w:tcPr>
            <w:tcW w:type="dxa" w:w="5080"/>
            <w:tcBorders>
              <w:top w:val="single" w:color="AACCDD" w:sz="4"/>
              <w:left w:val="single" w:color="AACCDD" w:sz="4"/>
              <w:bottom w:val="single" w:color="AACCDD" w:sz="4"/>
              <w:right w:val="single" w:color="AACCDD" w:sz="4"/>
            </w:tcBorders>
            <w:shd w:fill="D5E8F0" w:val="clear"/>
            <w:tcMar>
              <w:top w:type="dxa" w:w="80"/>
              <w:left w:type="dxa" w:w="120"/>
              <w:bottom w:type="dxa" w:w="80"/>
              <w:right w:type="dxa" w:w="120"/>
            </w:tcMar>
            <w:vAlign w:val="center"/>
          </w:tcPr>
          <w:p>
            <w:pPr>
              <w:spacing w:after="60" w:before="60"/>
              <w:jc w:val="left"/>
            </w:pPr>
            <w:r>
              <w:rPr>
                <w:b/>
                <w:bCs/>
                <w:color w:val="1a2744"/>
                <w:sz w:val="18"/>
                <w:szCs w:val="18"/>
              </w:rPr>
              <w:t xml:space="preserve">Interpretation</w:t>
            </w:r>
          </w:p>
        </w:tc>
      </w:tr>
      <w:tr>
        <w:tc>
          <w:tcPr>
            <w:tcW w:type="dxa" w:w="2800"/>
            <w:tcBorders>
              <w:top w:val="single" w:color="AACCDD" w:sz="4"/>
              <w:left w:val="single" w:color="AACCDD" w:sz="4"/>
              <w:bottom w:val="single" w:color="AACCDD" w:sz="4"/>
              <w:right w:val="single" w:color="AACCDD" w:sz="4"/>
            </w:tcBorders>
            <w:shd w:fill="FFFFFF" w:val="clear"/>
            <w:tcMar>
              <w:top w:type="dxa" w:w="80"/>
              <w:left w:type="dxa" w:w="120"/>
              <w:bottom w:type="dxa" w:w="80"/>
              <w:right w:type="dxa" w:w="120"/>
            </w:tcMar>
            <w:vAlign w:val="center"/>
          </w:tcPr>
          <w:p>
            <w:pPr>
              <w:spacing w:after="60" w:before="60"/>
              <w:jc w:val="left"/>
            </w:pPr>
            <w:r>
              <w:rPr>
                <w:b w:val="false"/>
                <w:bCs w:val="false"/>
                <w:color w:val="333333"/>
                <w:sz w:val="18"/>
                <w:szCs w:val="18"/>
              </w:rPr>
              <w:t xml:space="preserve">V4 Trend vs MR</w:t>
            </w:r>
          </w:p>
        </w:tc>
        <w:tc>
          <w:tcPr>
            <w:tcW w:type="dxa" w:w="2200"/>
            <w:tcBorders>
              <w:top w:val="single" w:color="AACCDD" w:sz="4"/>
              <w:left w:val="single" w:color="AACCDD" w:sz="4"/>
              <w:bottom w:val="single" w:color="AACCDD" w:sz="4"/>
              <w:right w:val="single" w:color="AACCDD" w:sz="4"/>
            </w:tcBorders>
            <w:shd w:fill="FFFFFF" w:val="clear"/>
            <w:tcMar>
              <w:top w:type="dxa" w:w="80"/>
              <w:left w:type="dxa" w:w="120"/>
              <w:bottom w:type="dxa" w:w="80"/>
              <w:right w:type="dxa" w:w="120"/>
            </w:tcMar>
            <w:vAlign w:val="center"/>
          </w:tcPr>
          <w:p>
            <w:pPr>
              <w:spacing w:after="60" w:before="60"/>
              <w:jc w:val="left"/>
            </w:pPr>
            <w:r>
              <w:rPr>
                <w:b w:val="false"/>
                <w:bCs w:val="false"/>
                <w:color w:val="333333"/>
                <w:sz w:val="18"/>
                <w:szCs w:val="18"/>
              </w:rPr>
              <w:t xml:space="preserve">~-0.2 to +0.1</w:t>
            </w:r>
          </w:p>
        </w:tc>
        <w:tc>
          <w:tcPr>
            <w:tcW w:type="dxa" w:w="5080"/>
            <w:tcBorders>
              <w:top w:val="single" w:color="AACCDD" w:sz="4"/>
              <w:left w:val="single" w:color="AACCDD" w:sz="4"/>
              <w:bottom w:val="single" w:color="AACCDD" w:sz="4"/>
              <w:right w:val="single" w:color="AACCDD" w:sz="4"/>
            </w:tcBorders>
            <w:shd w:fill="FFFFFF" w:val="clear"/>
            <w:tcMar>
              <w:top w:type="dxa" w:w="80"/>
              <w:left w:type="dxa" w:w="120"/>
              <w:bottom w:type="dxa" w:w="80"/>
              <w:right w:type="dxa" w:w="120"/>
            </w:tcMar>
            <w:vAlign w:val="center"/>
          </w:tcPr>
          <w:p>
            <w:pPr>
              <w:spacing w:after="60" w:before="60"/>
              <w:jc w:val="left"/>
            </w:pPr>
            <w:r>
              <w:rPr>
                <w:b w:val="false"/>
                <w:bCs w:val="false"/>
                <w:color w:val="333333"/>
                <w:sz w:val="18"/>
                <w:szCs w:val="18"/>
              </w:rPr>
              <w:t xml:space="preserve">Low / slightly negative — diversifying</w:t>
            </w:r>
          </w:p>
        </w:tc>
      </w:tr>
      <w:tr>
        <w:tc>
          <w:tcPr>
            <w:tcW w:type="dxa" w:w="2800"/>
            <w:tcBorders>
              <w:top w:val="single" w:color="AACCDD" w:sz="4"/>
              <w:left w:val="single" w:color="AACCDD" w:sz="4"/>
              <w:bottom w:val="single" w:color="AACCDD" w:sz="4"/>
              <w:right w:val="single" w:color="AACCDD" w:sz="4"/>
            </w:tcBorders>
            <w:shd w:fill="EEF5F9" w:val="clear"/>
            <w:tcMar>
              <w:top w:type="dxa" w:w="80"/>
              <w:left w:type="dxa" w:w="120"/>
              <w:bottom w:type="dxa" w:w="80"/>
              <w:right w:type="dxa" w:w="120"/>
            </w:tcMar>
            <w:vAlign w:val="center"/>
          </w:tcPr>
          <w:p>
            <w:pPr>
              <w:spacing w:after="60" w:before="60"/>
              <w:jc w:val="left"/>
            </w:pPr>
            <w:r>
              <w:rPr>
                <w:b w:val="false"/>
                <w:bCs w:val="false"/>
                <w:color w:val="333333"/>
                <w:sz w:val="18"/>
                <w:szCs w:val="18"/>
              </w:rPr>
              <w:t xml:space="preserve">V4 Trend vs ED</w:t>
            </w:r>
          </w:p>
        </w:tc>
        <w:tc>
          <w:tcPr>
            <w:tcW w:type="dxa" w:w="2200"/>
            <w:tcBorders>
              <w:top w:val="single" w:color="AACCDD" w:sz="4"/>
              <w:left w:val="single" w:color="AACCDD" w:sz="4"/>
              <w:bottom w:val="single" w:color="AACCDD" w:sz="4"/>
              <w:right w:val="single" w:color="AACCDD" w:sz="4"/>
            </w:tcBorders>
            <w:shd w:fill="EEF5F9" w:val="clear"/>
            <w:tcMar>
              <w:top w:type="dxa" w:w="80"/>
              <w:left w:type="dxa" w:w="120"/>
              <w:bottom w:type="dxa" w:w="80"/>
              <w:right w:type="dxa" w:w="120"/>
            </w:tcMar>
            <w:vAlign w:val="center"/>
          </w:tcPr>
          <w:p>
            <w:pPr>
              <w:spacing w:after="60" w:before="60"/>
              <w:jc w:val="left"/>
            </w:pPr>
            <w:r>
              <w:rPr>
                <w:b w:val="false"/>
                <w:bCs w:val="false"/>
                <w:color w:val="333333"/>
                <w:sz w:val="18"/>
                <w:szCs w:val="18"/>
              </w:rPr>
              <w:t xml:space="preserve">~+0.1 to +0.3</w:t>
            </w:r>
          </w:p>
        </w:tc>
        <w:tc>
          <w:tcPr>
            <w:tcW w:type="dxa" w:w="5080"/>
            <w:tcBorders>
              <w:top w:val="single" w:color="AACCDD" w:sz="4"/>
              <w:left w:val="single" w:color="AACCDD" w:sz="4"/>
              <w:bottom w:val="single" w:color="AACCDD" w:sz="4"/>
              <w:right w:val="single" w:color="AACCDD" w:sz="4"/>
            </w:tcBorders>
            <w:shd w:fill="EEF5F9" w:val="clear"/>
            <w:tcMar>
              <w:top w:type="dxa" w:w="80"/>
              <w:left w:type="dxa" w:w="120"/>
              <w:bottom w:type="dxa" w:w="80"/>
              <w:right w:type="dxa" w:w="120"/>
            </w:tcMar>
            <w:vAlign w:val="center"/>
          </w:tcPr>
          <w:p>
            <w:pPr>
              <w:spacing w:after="60" w:before="60"/>
              <w:jc w:val="left"/>
            </w:pPr>
            <w:r>
              <w:rPr>
                <w:b w:val="false"/>
                <w:bCs w:val="false"/>
                <w:color w:val="333333"/>
                <w:sz w:val="18"/>
                <w:szCs w:val="18"/>
              </w:rPr>
              <w:t xml:space="preserve">Low positive — moderate diversifying</w:t>
            </w:r>
          </w:p>
        </w:tc>
      </w:tr>
      <w:tr>
        <w:tc>
          <w:tcPr>
            <w:tcW w:type="dxa" w:w="2800"/>
            <w:tcBorders>
              <w:top w:val="single" w:color="AACCDD" w:sz="4"/>
              <w:left w:val="single" w:color="AACCDD" w:sz="4"/>
              <w:bottom w:val="single" w:color="AACCDD" w:sz="4"/>
              <w:right w:val="single" w:color="AACCDD" w:sz="4"/>
            </w:tcBorders>
            <w:shd w:fill="FFFFFF" w:val="clear"/>
            <w:tcMar>
              <w:top w:type="dxa" w:w="80"/>
              <w:left w:type="dxa" w:w="120"/>
              <w:bottom w:type="dxa" w:w="80"/>
              <w:right w:type="dxa" w:w="120"/>
            </w:tcMar>
            <w:vAlign w:val="center"/>
          </w:tcPr>
          <w:p>
            <w:pPr>
              <w:spacing w:after="60" w:before="60"/>
              <w:jc w:val="left"/>
            </w:pPr>
            <w:r>
              <w:rPr>
                <w:b w:val="false"/>
                <w:bCs w:val="false"/>
                <w:color w:val="333333"/>
                <w:sz w:val="18"/>
                <w:szCs w:val="18"/>
              </w:rPr>
              <w:t xml:space="preserve">MR vs ED</w:t>
            </w:r>
          </w:p>
        </w:tc>
        <w:tc>
          <w:tcPr>
            <w:tcW w:type="dxa" w:w="2200"/>
            <w:tcBorders>
              <w:top w:val="single" w:color="AACCDD" w:sz="4"/>
              <w:left w:val="single" w:color="AACCDD" w:sz="4"/>
              <w:bottom w:val="single" w:color="AACCDD" w:sz="4"/>
              <w:right w:val="single" w:color="AACCDD" w:sz="4"/>
            </w:tcBorders>
            <w:shd w:fill="FFFFFF" w:val="clear"/>
            <w:tcMar>
              <w:top w:type="dxa" w:w="80"/>
              <w:left w:type="dxa" w:w="120"/>
              <w:bottom w:type="dxa" w:w="80"/>
              <w:right w:type="dxa" w:w="120"/>
            </w:tcMar>
            <w:vAlign w:val="center"/>
          </w:tcPr>
          <w:p>
            <w:pPr>
              <w:spacing w:after="60" w:before="60"/>
              <w:jc w:val="left"/>
            </w:pPr>
            <w:r>
              <w:rPr>
                <w:b w:val="false"/>
                <w:bCs w:val="false"/>
                <w:color w:val="333333"/>
                <w:sz w:val="18"/>
                <w:szCs w:val="18"/>
              </w:rPr>
              <w:t xml:space="preserve">~+0.0 to +0.2</w:t>
            </w:r>
          </w:p>
        </w:tc>
        <w:tc>
          <w:tcPr>
            <w:tcW w:type="dxa" w:w="5080"/>
            <w:tcBorders>
              <w:top w:val="single" w:color="AACCDD" w:sz="4"/>
              <w:left w:val="single" w:color="AACCDD" w:sz="4"/>
              <w:bottom w:val="single" w:color="AACCDD" w:sz="4"/>
              <w:right w:val="single" w:color="AACCDD" w:sz="4"/>
            </w:tcBorders>
            <w:shd w:fill="FFFFFF" w:val="clear"/>
            <w:tcMar>
              <w:top w:type="dxa" w:w="80"/>
              <w:left w:type="dxa" w:w="120"/>
              <w:bottom w:type="dxa" w:w="80"/>
              <w:right w:type="dxa" w:w="120"/>
            </w:tcMar>
            <w:vAlign w:val="center"/>
          </w:tcPr>
          <w:p>
            <w:pPr>
              <w:spacing w:after="60" w:before="60"/>
              <w:jc w:val="left"/>
            </w:pPr>
            <w:r>
              <w:rPr>
                <w:b w:val="false"/>
                <w:bCs w:val="false"/>
                <w:color w:val="333333"/>
                <w:sz w:val="18"/>
                <w:szCs w:val="18"/>
              </w:rPr>
              <w:t xml:space="preserve">Near-zero — strong diversification</w:t>
            </w:r>
          </w:p>
        </w:tc>
      </w:tr>
    </w:tbl>
    <w:p>
      <w:pPr>
        <w:spacing w:after="80" w:before="0"/>
      </w:pPr>
    </w:p>
    <w:p>
      <w:pPr>
        <w:spacing w:after="60" w:before="60"/>
        <w:jc w:val="left"/>
      </w:pPr>
      <w:r>
        <w:rPr>
          <w:b w:val="false"/>
          <w:bCs w:val="false"/>
          <w:i/>
          <w:iCs/>
          <w:color w:val="333333"/>
          <w:sz w:val="20"/>
          <w:szCs w:val="20"/>
        </w:rPr>
        <w:t xml:space="preserve">Combined portfolio benefits: When trend-following suffers (choppy markets), MR often profits. When both struggle, ED may provide uncorrelated returns from earnings events.</w:t>
      </w:r>
    </w:p>
    <w:p>
      <w:pPr>
        <w:spacing w:after="120" w:before="0"/>
      </w:pPr>
    </w:p>
    <w:p>
      <w:pPr>
        <w:pStyle w:val="Heading2"/>
        <w:pBdr>
          <w:bottom w:val="single" w:color="2C4A8C" w:sz="6"/>
        </w:pBdr>
        <w:spacing w:after="100" w:before="200"/>
      </w:pPr>
      <w:r>
        <w:rPr>
          <w:b/>
          <w:bCs/>
          <w:color w:val="1a2744"/>
          <w:sz w:val="24"/>
          <w:szCs w:val="24"/>
        </w:rPr>
        <w:t xml:space="preserve">6.2  Regime-Based Allocation</w:t>
      </w:r>
    </w:p>
    <w:p>
      <w:pPr>
        <w:spacing w:after="60" w:before="60"/>
        <w:jc w:val="left"/>
      </w:pPr>
      <w:r>
        <w:rPr>
          <w:b w:val="false"/>
          <w:bCs w:val="false"/>
          <w:i w:val="false"/>
          <w:iCs w:val="false"/>
          <w:color w:val="333333"/>
          <w:sz w:val="20"/>
          <w:szCs w:val="20"/>
        </w:rPr>
        <w:t xml:space="preserve">The regime system dynamically shifts capital based on market environment:</w:t>
      </w:r>
    </w:p>
    <w:p>
      <w:pPr>
        <w:spacing w:after="60" w:before="0"/>
      </w:pPr>
    </w:p>
    <w:tbl>
      <w:tblPr>
        <w:tblW w:type="dxa" w:w="10080"/>
        <w:tblBorders>
          <w:top w:val="single" w:color="AACCDD" w:sz="4"/>
          <w:left w:val="single" w:color="AACCDD" w:sz="4"/>
          <w:bottom w:val="single" w:color="AACCDD" w:sz="4"/>
          <w:right w:val="single" w:color="AACCDD" w:sz="4"/>
          <w:insideH w:val="single" w:color="auto" w:sz="4"/>
          <w:insideV w:val="single" w:color="auto" w:sz="4"/>
        </w:tblBorders>
      </w:tblPr>
      <w:tblGrid>
        <w:gridCol w:w="2000"/>
        <w:gridCol w:w="1880"/>
        <w:gridCol w:w="2200"/>
        <w:gridCol w:w="2200"/>
        <w:gridCol w:w="1800"/>
      </w:tblGrid>
      <w:tr>
        <w:trPr>
          <w:tblHeader/>
        </w:trPr>
        <w:tc>
          <w:tcPr>
            <w:tcW w:type="dxa" w:w="2000"/>
            <w:tcBorders>
              <w:top w:val="single" w:color="AACCDD" w:sz="4"/>
              <w:left w:val="single" w:color="AACCDD" w:sz="4"/>
              <w:bottom w:val="single" w:color="AACCDD" w:sz="4"/>
              <w:right w:val="single" w:color="AACCDD" w:sz="4"/>
            </w:tcBorders>
            <w:shd w:fill="D5E8F0" w:val="clear"/>
            <w:tcMar>
              <w:top w:type="dxa" w:w="80"/>
              <w:left w:type="dxa" w:w="120"/>
              <w:bottom w:type="dxa" w:w="80"/>
              <w:right w:type="dxa" w:w="120"/>
            </w:tcMar>
            <w:vAlign w:val="center"/>
          </w:tcPr>
          <w:p>
            <w:pPr>
              <w:spacing w:after="60" w:before="60"/>
              <w:jc w:val="left"/>
            </w:pPr>
            <w:r>
              <w:rPr>
                <w:b/>
                <w:bCs/>
                <w:color w:val="1a2744"/>
                <w:sz w:val="18"/>
                <w:szCs w:val="18"/>
              </w:rPr>
              <w:t xml:space="preserve">Regime</w:t>
            </w:r>
          </w:p>
        </w:tc>
        <w:tc>
          <w:tcPr>
            <w:tcW w:type="dxa" w:w="1880"/>
            <w:tcBorders>
              <w:top w:val="single" w:color="AACCDD" w:sz="4"/>
              <w:left w:val="single" w:color="AACCDD" w:sz="4"/>
              <w:bottom w:val="single" w:color="AACCDD" w:sz="4"/>
              <w:right w:val="single" w:color="AACCDD" w:sz="4"/>
            </w:tcBorders>
            <w:shd w:fill="D5E8F0" w:val="clear"/>
            <w:tcMar>
              <w:top w:type="dxa" w:w="80"/>
              <w:left w:type="dxa" w:w="120"/>
              <w:bottom w:type="dxa" w:w="80"/>
              <w:right w:type="dxa" w:w="120"/>
            </w:tcMar>
            <w:vAlign w:val="center"/>
          </w:tcPr>
          <w:p>
            <w:pPr>
              <w:spacing w:after="60" w:before="60"/>
              <w:jc w:val="left"/>
            </w:pPr>
            <w:r>
              <w:rPr>
                <w:b/>
                <w:bCs/>
                <w:color w:val="1a2744"/>
                <w:sz w:val="18"/>
                <w:szCs w:val="18"/>
              </w:rPr>
              <w:t xml:space="preserve">V4 Trend</w:t>
            </w:r>
          </w:p>
        </w:tc>
        <w:tc>
          <w:tcPr>
            <w:tcW w:type="dxa" w:w="2200"/>
            <w:tcBorders>
              <w:top w:val="single" w:color="AACCDD" w:sz="4"/>
              <w:left w:val="single" w:color="AACCDD" w:sz="4"/>
              <w:bottom w:val="single" w:color="AACCDD" w:sz="4"/>
              <w:right w:val="single" w:color="AACCDD" w:sz="4"/>
            </w:tcBorders>
            <w:shd w:fill="D5E8F0" w:val="clear"/>
            <w:tcMar>
              <w:top w:type="dxa" w:w="80"/>
              <w:left w:type="dxa" w:w="120"/>
              <w:bottom w:type="dxa" w:w="80"/>
              <w:right w:type="dxa" w:w="120"/>
            </w:tcMar>
            <w:vAlign w:val="center"/>
          </w:tcPr>
          <w:p>
            <w:pPr>
              <w:spacing w:after="60" w:before="60"/>
              <w:jc w:val="left"/>
            </w:pPr>
            <w:r>
              <w:rPr>
                <w:b/>
                <w:bCs/>
                <w:color w:val="1a2744"/>
                <w:sz w:val="18"/>
                <w:szCs w:val="18"/>
              </w:rPr>
              <w:t xml:space="preserve">Mean Reversion</w:t>
            </w:r>
          </w:p>
        </w:tc>
        <w:tc>
          <w:tcPr>
            <w:tcW w:type="dxa" w:w="2200"/>
            <w:tcBorders>
              <w:top w:val="single" w:color="AACCDD" w:sz="4"/>
              <w:left w:val="single" w:color="AACCDD" w:sz="4"/>
              <w:bottom w:val="single" w:color="AACCDD" w:sz="4"/>
              <w:right w:val="single" w:color="AACCDD" w:sz="4"/>
            </w:tcBorders>
            <w:shd w:fill="D5E8F0" w:val="clear"/>
            <w:tcMar>
              <w:top w:type="dxa" w:w="80"/>
              <w:left w:type="dxa" w:w="120"/>
              <w:bottom w:type="dxa" w:w="80"/>
              <w:right w:type="dxa" w:w="120"/>
            </w:tcMar>
            <w:vAlign w:val="center"/>
          </w:tcPr>
          <w:p>
            <w:pPr>
              <w:spacing w:after="60" w:before="60"/>
              <w:jc w:val="left"/>
            </w:pPr>
            <w:r>
              <w:rPr>
                <w:b/>
                <w:bCs/>
                <w:color w:val="1a2744"/>
                <w:sz w:val="18"/>
                <w:szCs w:val="18"/>
              </w:rPr>
              <w:t xml:space="preserve">Event-Driven</w:t>
            </w:r>
          </w:p>
        </w:tc>
        <w:tc>
          <w:tcPr>
            <w:tcW w:type="dxa" w:w="1800"/>
            <w:tcBorders>
              <w:top w:val="single" w:color="AACCDD" w:sz="4"/>
              <w:left w:val="single" w:color="AACCDD" w:sz="4"/>
              <w:bottom w:val="single" w:color="AACCDD" w:sz="4"/>
              <w:right w:val="single" w:color="AACCDD" w:sz="4"/>
            </w:tcBorders>
            <w:shd w:fill="D5E8F0" w:val="clear"/>
            <w:tcMar>
              <w:top w:type="dxa" w:w="80"/>
              <w:left w:type="dxa" w:w="120"/>
              <w:bottom w:type="dxa" w:w="80"/>
              <w:right w:type="dxa" w:w="120"/>
            </w:tcMar>
            <w:vAlign w:val="center"/>
          </w:tcPr>
          <w:p>
            <w:pPr>
              <w:spacing w:after="60" w:before="60"/>
              <w:jc w:val="left"/>
            </w:pPr>
            <w:r>
              <w:rPr>
                <w:b/>
                <w:bCs/>
                <w:color w:val="1a2744"/>
                <w:sz w:val="18"/>
                <w:szCs w:val="18"/>
              </w:rPr>
              <w:t xml:space="preserve">Cash</w:t>
            </w:r>
          </w:p>
        </w:tc>
      </w:tr>
      <w:tr>
        <w:tc>
          <w:tcPr>
            <w:tcW w:type="dxa" w:w="2000"/>
            <w:tcBorders>
              <w:top w:val="single" w:color="AACCDD" w:sz="4"/>
              <w:left w:val="single" w:color="AACCDD" w:sz="4"/>
              <w:bottom w:val="single" w:color="AACCDD" w:sz="4"/>
              <w:right w:val="single" w:color="AACCDD" w:sz="4"/>
            </w:tcBorders>
            <w:shd w:fill="FFFFFF" w:val="clear"/>
            <w:tcMar>
              <w:top w:type="dxa" w:w="80"/>
              <w:left w:type="dxa" w:w="120"/>
              <w:bottom w:type="dxa" w:w="80"/>
              <w:right w:type="dxa" w:w="120"/>
            </w:tcMar>
            <w:vAlign w:val="center"/>
          </w:tcPr>
          <w:p>
            <w:pPr>
              <w:spacing w:after="60" w:before="60"/>
              <w:jc w:val="left"/>
            </w:pPr>
            <w:r>
              <w:rPr>
                <w:b w:val="false"/>
                <w:bCs w:val="false"/>
                <w:color w:val="333333"/>
                <w:sz w:val="18"/>
                <w:szCs w:val="18"/>
              </w:rPr>
              <w:t xml:space="preserve">Strong Bull</w:t>
            </w:r>
          </w:p>
        </w:tc>
        <w:tc>
          <w:tcPr>
            <w:tcW w:type="dxa" w:w="1880"/>
            <w:tcBorders>
              <w:top w:val="single" w:color="AACCDD" w:sz="4"/>
              <w:left w:val="single" w:color="AACCDD" w:sz="4"/>
              <w:bottom w:val="single" w:color="AACCDD" w:sz="4"/>
              <w:right w:val="single" w:color="AACCDD" w:sz="4"/>
            </w:tcBorders>
            <w:shd w:fill="FFFFFF" w:val="clear"/>
            <w:tcMar>
              <w:top w:type="dxa" w:w="80"/>
              <w:left w:type="dxa" w:w="120"/>
              <w:bottom w:type="dxa" w:w="80"/>
              <w:right w:type="dxa" w:w="120"/>
            </w:tcMar>
            <w:vAlign w:val="center"/>
          </w:tcPr>
          <w:p>
            <w:pPr>
              <w:spacing w:after="60" w:before="60"/>
              <w:jc w:val="left"/>
            </w:pPr>
            <w:r>
              <w:rPr>
                <w:b w:val="false"/>
                <w:bCs w:val="false"/>
                <w:color w:val="333333"/>
                <w:sz w:val="18"/>
                <w:szCs w:val="18"/>
              </w:rPr>
              <w:t xml:space="preserve">70%</w:t>
            </w:r>
          </w:p>
        </w:tc>
        <w:tc>
          <w:tcPr>
            <w:tcW w:type="dxa" w:w="2200"/>
            <w:tcBorders>
              <w:top w:val="single" w:color="AACCDD" w:sz="4"/>
              <w:left w:val="single" w:color="AACCDD" w:sz="4"/>
              <w:bottom w:val="single" w:color="AACCDD" w:sz="4"/>
              <w:right w:val="single" w:color="AACCDD" w:sz="4"/>
            </w:tcBorders>
            <w:shd w:fill="FFFFFF" w:val="clear"/>
            <w:tcMar>
              <w:top w:type="dxa" w:w="80"/>
              <w:left w:type="dxa" w:w="120"/>
              <w:bottom w:type="dxa" w:w="80"/>
              <w:right w:type="dxa" w:w="120"/>
            </w:tcMar>
            <w:vAlign w:val="center"/>
          </w:tcPr>
          <w:p>
            <w:pPr>
              <w:spacing w:after="60" w:before="60"/>
              <w:jc w:val="left"/>
            </w:pPr>
            <w:r>
              <w:rPr>
                <w:b w:val="false"/>
                <w:bCs w:val="false"/>
                <w:color w:val="333333"/>
                <w:sz w:val="18"/>
                <w:szCs w:val="18"/>
              </w:rPr>
              <w:t xml:space="preserve">0%</w:t>
            </w:r>
          </w:p>
        </w:tc>
        <w:tc>
          <w:tcPr>
            <w:tcW w:type="dxa" w:w="2200"/>
            <w:tcBorders>
              <w:top w:val="single" w:color="AACCDD" w:sz="4"/>
              <w:left w:val="single" w:color="AACCDD" w:sz="4"/>
              <w:bottom w:val="single" w:color="AACCDD" w:sz="4"/>
              <w:right w:val="single" w:color="AACCDD" w:sz="4"/>
            </w:tcBorders>
            <w:shd w:fill="FFFFFF" w:val="clear"/>
            <w:tcMar>
              <w:top w:type="dxa" w:w="80"/>
              <w:left w:type="dxa" w:w="120"/>
              <w:bottom w:type="dxa" w:w="80"/>
              <w:right w:type="dxa" w:w="120"/>
            </w:tcMar>
            <w:vAlign w:val="center"/>
          </w:tcPr>
          <w:p>
            <w:pPr>
              <w:spacing w:after="60" w:before="60"/>
              <w:jc w:val="left"/>
            </w:pPr>
            <w:r>
              <w:rPr>
                <w:b w:val="false"/>
                <w:bCs w:val="false"/>
                <w:color w:val="333333"/>
                <w:sz w:val="18"/>
                <w:szCs w:val="18"/>
              </w:rPr>
              <w:t xml:space="preserve">30%</w:t>
            </w:r>
          </w:p>
        </w:tc>
        <w:tc>
          <w:tcPr>
            <w:tcW w:type="dxa" w:w="1800"/>
            <w:tcBorders>
              <w:top w:val="single" w:color="AACCDD" w:sz="4"/>
              <w:left w:val="single" w:color="AACCDD" w:sz="4"/>
              <w:bottom w:val="single" w:color="AACCDD" w:sz="4"/>
              <w:right w:val="single" w:color="AACCDD" w:sz="4"/>
            </w:tcBorders>
            <w:shd w:fill="FFFFFF" w:val="clear"/>
            <w:tcMar>
              <w:top w:type="dxa" w:w="80"/>
              <w:left w:type="dxa" w:w="120"/>
              <w:bottom w:type="dxa" w:w="80"/>
              <w:right w:type="dxa" w:w="120"/>
            </w:tcMar>
            <w:vAlign w:val="center"/>
          </w:tcPr>
          <w:p>
            <w:pPr>
              <w:spacing w:after="60" w:before="60"/>
              <w:jc w:val="left"/>
            </w:pPr>
            <w:r>
              <w:rPr>
                <w:b w:val="false"/>
                <w:bCs w:val="false"/>
                <w:color w:val="333333"/>
                <w:sz w:val="18"/>
                <w:szCs w:val="18"/>
              </w:rPr>
              <w:t xml:space="preserve">0%</w:t>
            </w:r>
          </w:p>
        </w:tc>
      </w:tr>
      <w:tr>
        <w:tc>
          <w:tcPr>
            <w:tcW w:type="dxa" w:w="2000"/>
            <w:tcBorders>
              <w:top w:val="single" w:color="AACCDD" w:sz="4"/>
              <w:left w:val="single" w:color="AACCDD" w:sz="4"/>
              <w:bottom w:val="single" w:color="AACCDD" w:sz="4"/>
              <w:right w:val="single" w:color="AACCDD" w:sz="4"/>
            </w:tcBorders>
            <w:shd w:fill="EEF5F9" w:val="clear"/>
            <w:tcMar>
              <w:top w:type="dxa" w:w="80"/>
              <w:left w:type="dxa" w:w="120"/>
              <w:bottom w:type="dxa" w:w="80"/>
              <w:right w:type="dxa" w:w="120"/>
            </w:tcMar>
            <w:vAlign w:val="center"/>
          </w:tcPr>
          <w:p>
            <w:pPr>
              <w:spacing w:after="60" w:before="60"/>
              <w:jc w:val="left"/>
            </w:pPr>
            <w:r>
              <w:rPr>
                <w:b w:val="false"/>
                <w:bCs w:val="false"/>
                <w:color w:val="333333"/>
                <w:sz w:val="18"/>
                <w:szCs w:val="18"/>
              </w:rPr>
              <w:t xml:space="preserve">Bull</w:t>
            </w:r>
          </w:p>
        </w:tc>
        <w:tc>
          <w:tcPr>
            <w:tcW w:type="dxa" w:w="1880"/>
            <w:tcBorders>
              <w:top w:val="single" w:color="AACCDD" w:sz="4"/>
              <w:left w:val="single" w:color="AACCDD" w:sz="4"/>
              <w:bottom w:val="single" w:color="AACCDD" w:sz="4"/>
              <w:right w:val="single" w:color="AACCDD" w:sz="4"/>
            </w:tcBorders>
            <w:shd w:fill="EEF5F9" w:val="clear"/>
            <w:tcMar>
              <w:top w:type="dxa" w:w="80"/>
              <w:left w:type="dxa" w:w="120"/>
              <w:bottom w:type="dxa" w:w="80"/>
              <w:right w:type="dxa" w:w="120"/>
            </w:tcMar>
            <w:vAlign w:val="center"/>
          </w:tcPr>
          <w:p>
            <w:pPr>
              <w:spacing w:after="60" w:before="60"/>
              <w:jc w:val="left"/>
            </w:pPr>
            <w:r>
              <w:rPr>
                <w:b w:val="false"/>
                <w:bCs w:val="false"/>
                <w:color w:val="333333"/>
                <w:sz w:val="18"/>
                <w:szCs w:val="18"/>
              </w:rPr>
              <w:t xml:space="preserve">60%</w:t>
            </w:r>
          </w:p>
        </w:tc>
        <w:tc>
          <w:tcPr>
            <w:tcW w:type="dxa" w:w="2200"/>
            <w:tcBorders>
              <w:top w:val="single" w:color="AACCDD" w:sz="4"/>
              <w:left w:val="single" w:color="AACCDD" w:sz="4"/>
              <w:bottom w:val="single" w:color="AACCDD" w:sz="4"/>
              <w:right w:val="single" w:color="AACCDD" w:sz="4"/>
            </w:tcBorders>
            <w:shd w:fill="EEF5F9" w:val="clear"/>
            <w:tcMar>
              <w:top w:type="dxa" w:w="80"/>
              <w:left w:type="dxa" w:w="120"/>
              <w:bottom w:type="dxa" w:w="80"/>
              <w:right w:type="dxa" w:w="120"/>
            </w:tcMar>
            <w:vAlign w:val="center"/>
          </w:tcPr>
          <w:p>
            <w:pPr>
              <w:spacing w:after="60" w:before="60"/>
              <w:jc w:val="left"/>
            </w:pPr>
            <w:r>
              <w:rPr>
                <w:b w:val="false"/>
                <w:bCs w:val="false"/>
                <w:color w:val="333333"/>
                <w:sz w:val="18"/>
                <w:szCs w:val="18"/>
              </w:rPr>
              <w:t xml:space="preserve">10%</w:t>
            </w:r>
          </w:p>
        </w:tc>
        <w:tc>
          <w:tcPr>
            <w:tcW w:type="dxa" w:w="2200"/>
            <w:tcBorders>
              <w:top w:val="single" w:color="AACCDD" w:sz="4"/>
              <w:left w:val="single" w:color="AACCDD" w:sz="4"/>
              <w:bottom w:val="single" w:color="AACCDD" w:sz="4"/>
              <w:right w:val="single" w:color="AACCDD" w:sz="4"/>
            </w:tcBorders>
            <w:shd w:fill="EEF5F9" w:val="clear"/>
            <w:tcMar>
              <w:top w:type="dxa" w:w="80"/>
              <w:left w:type="dxa" w:w="120"/>
              <w:bottom w:type="dxa" w:w="80"/>
              <w:right w:type="dxa" w:w="120"/>
            </w:tcMar>
            <w:vAlign w:val="center"/>
          </w:tcPr>
          <w:p>
            <w:pPr>
              <w:spacing w:after="60" w:before="60"/>
              <w:jc w:val="left"/>
            </w:pPr>
            <w:r>
              <w:rPr>
                <w:b w:val="false"/>
                <w:bCs w:val="false"/>
                <w:color w:val="333333"/>
                <w:sz w:val="18"/>
                <w:szCs w:val="18"/>
              </w:rPr>
              <w:t xml:space="preserve">30%</w:t>
            </w:r>
          </w:p>
        </w:tc>
        <w:tc>
          <w:tcPr>
            <w:tcW w:type="dxa" w:w="1800"/>
            <w:tcBorders>
              <w:top w:val="single" w:color="AACCDD" w:sz="4"/>
              <w:left w:val="single" w:color="AACCDD" w:sz="4"/>
              <w:bottom w:val="single" w:color="AACCDD" w:sz="4"/>
              <w:right w:val="single" w:color="AACCDD" w:sz="4"/>
            </w:tcBorders>
            <w:shd w:fill="EEF5F9" w:val="clear"/>
            <w:tcMar>
              <w:top w:type="dxa" w:w="80"/>
              <w:left w:type="dxa" w:w="120"/>
              <w:bottom w:type="dxa" w:w="80"/>
              <w:right w:type="dxa" w:w="120"/>
            </w:tcMar>
            <w:vAlign w:val="center"/>
          </w:tcPr>
          <w:p>
            <w:pPr>
              <w:spacing w:after="60" w:before="60"/>
              <w:jc w:val="left"/>
            </w:pPr>
            <w:r>
              <w:rPr>
                <w:b w:val="false"/>
                <w:bCs w:val="false"/>
                <w:color w:val="333333"/>
                <w:sz w:val="18"/>
                <w:szCs w:val="18"/>
              </w:rPr>
              <w:t xml:space="preserve">0%</w:t>
            </w:r>
          </w:p>
        </w:tc>
      </w:tr>
      <w:tr>
        <w:tc>
          <w:tcPr>
            <w:tcW w:type="dxa" w:w="2000"/>
            <w:tcBorders>
              <w:top w:val="single" w:color="AACCDD" w:sz="4"/>
              <w:left w:val="single" w:color="AACCDD" w:sz="4"/>
              <w:bottom w:val="single" w:color="AACCDD" w:sz="4"/>
              <w:right w:val="single" w:color="AACCDD" w:sz="4"/>
            </w:tcBorders>
            <w:shd w:fill="FFFFFF" w:val="clear"/>
            <w:tcMar>
              <w:top w:type="dxa" w:w="80"/>
              <w:left w:type="dxa" w:w="120"/>
              <w:bottom w:type="dxa" w:w="80"/>
              <w:right w:type="dxa" w:w="120"/>
            </w:tcMar>
            <w:vAlign w:val="center"/>
          </w:tcPr>
          <w:p>
            <w:pPr>
              <w:spacing w:after="60" w:before="60"/>
              <w:jc w:val="left"/>
            </w:pPr>
            <w:r>
              <w:rPr>
                <w:b w:val="false"/>
                <w:bCs w:val="false"/>
                <w:color w:val="333333"/>
                <w:sz w:val="18"/>
                <w:szCs w:val="18"/>
              </w:rPr>
              <w:t xml:space="preserve">Choppy</w:t>
            </w:r>
          </w:p>
        </w:tc>
        <w:tc>
          <w:tcPr>
            <w:tcW w:type="dxa" w:w="1880"/>
            <w:tcBorders>
              <w:top w:val="single" w:color="AACCDD" w:sz="4"/>
              <w:left w:val="single" w:color="AACCDD" w:sz="4"/>
              <w:bottom w:val="single" w:color="AACCDD" w:sz="4"/>
              <w:right w:val="single" w:color="AACCDD" w:sz="4"/>
            </w:tcBorders>
            <w:shd w:fill="FFFFFF" w:val="clear"/>
            <w:tcMar>
              <w:top w:type="dxa" w:w="80"/>
              <w:left w:type="dxa" w:w="120"/>
              <w:bottom w:type="dxa" w:w="80"/>
              <w:right w:type="dxa" w:w="120"/>
            </w:tcMar>
            <w:vAlign w:val="center"/>
          </w:tcPr>
          <w:p>
            <w:pPr>
              <w:spacing w:after="60" w:before="60"/>
              <w:jc w:val="left"/>
            </w:pPr>
            <w:r>
              <w:rPr>
                <w:b w:val="false"/>
                <w:bCs w:val="false"/>
                <w:color w:val="333333"/>
                <w:sz w:val="18"/>
                <w:szCs w:val="18"/>
              </w:rPr>
              <w:t xml:space="preserve">30%</w:t>
            </w:r>
          </w:p>
        </w:tc>
        <w:tc>
          <w:tcPr>
            <w:tcW w:type="dxa" w:w="2200"/>
            <w:tcBorders>
              <w:top w:val="single" w:color="AACCDD" w:sz="4"/>
              <w:left w:val="single" w:color="AACCDD" w:sz="4"/>
              <w:bottom w:val="single" w:color="AACCDD" w:sz="4"/>
              <w:right w:val="single" w:color="AACCDD" w:sz="4"/>
            </w:tcBorders>
            <w:shd w:fill="FFFFFF" w:val="clear"/>
            <w:tcMar>
              <w:top w:type="dxa" w:w="80"/>
              <w:left w:type="dxa" w:w="120"/>
              <w:bottom w:type="dxa" w:w="80"/>
              <w:right w:type="dxa" w:w="120"/>
            </w:tcMar>
            <w:vAlign w:val="center"/>
          </w:tcPr>
          <w:p>
            <w:pPr>
              <w:spacing w:after="60" w:before="60"/>
              <w:jc w:val="left"/>
            </w:pPr>
            <w:r>
              <w:rPr>
                <w:b w:val="false"/>
                <w:bCs w:val="false"/>
                <w:color w:val="333333"/>
                <w:sz w:val="18"/>
                <w:szCs w:val="18"/>
              </w:rPr>
              <w:t xml:space="preserve">50%</w:t>
            </w:r>
          </w:p>
        </w:tc>
        <w:tc>
          <w:tcPr>
            <w:tcW w:type="dxa" w:w="2200"/>
            <w:tcBorders>
              <w:top w:val="single" w:color="AACCDD" w:sz="4"/>
              <w:left w:val="single" w:color="AACCDD" w:sz="4"/>
              <w:bottom w:val="single" w:color="AACCDD" w:sz="4"/>
              <w:right w:val="single" w:color="AACCDD" w:sz="4"/>
            </w:tcBorders>
            <w:shd w:fill="FFFFFF" w:val="clear"/>
            <w:tcMar>
              <w:top w:type="dxa" w:w="80"/>
              <w:left w:type="dxa" w:w="120"/>
              <w:bottom w:type="dxa" w:w="80"/>
              <w:right w:type="dxa" w:w="120"/>
            </w:tcMar>
            <w:vAlign w:val="center"/>
          </w:tcPr>
          <w:p>
            <w:pPr>
              <w:spacing w:after="60" w:before="60"/>
              <w:jc w:val="left"/>
            </w:pPr>
            <w:r>
              <w:rPr>
                <w:b w:val="false"/>
                <w:bCs w:val="false"/>
                <w:color w:val="333333"/>
                <w:sz w:val="18"/>
                <w:szCs w:val="18"/>
              </w:rPr>
              <w:t xml:space="preserve">20%</w:t>
            </w:r>
          </w:p>
        </w:tc>
        <w:tc>
          <w:tcPr>
            <w:tcW w:type="dxa" w:w="1800"/>
            <w:tcBorders>
              <w:top w:val="single" w:color="AACCDD" w:sz="4"/>
              <w:left w:val="single" w:color="AACCDD" w:sz="4"/>
              <w:bottom w:val="single" w:color="AACCDD" w:sz="4"/>
              <w:right w:val="single" w:color="AACCDD" w:sz="4"/>
            </w:tcBorders>
            <w:shd w:fill="FFFFFF" w:val="clear"/>
            <w:tcMar>
              <w:top w:type="dxa" w:w="80"/>
              <w:left w:type="dxa" w:w="120"/>
              <w:bottom w:type="dxa" w:w="80"/>
              <w:right w:type="dxa" w:w="120"/>
            </w:tcMar>
            <w:vAlign w:val="center"/>
          </w:tcPr>
          <w:p>
            <w:pPr>
              <w:spacing w:after="60" w:before="60"/>
              <w:jc w:val="left"/>
            </w:pPr>
            <w:r>
              <w:rPr>
                <w:b w:val="false"/>
                <w:bCs w:val="false"/>
                <w:color w:val="333333"/>
                <w:sz w:val="18"/>
                <w:szCs w:val="18"/>
              </w:rPr>
              <w:t xml:space="preserve">0%</w:t>
            </w:r>
          </w:p>
        </w:tc>
      </w:tr>
      <w:tr>
        <w:tc>
          <w:tcPr>
            <w:tcW w:type="dxa" w:w="2000"/>
            <w:tcBorders>
              <w:top w:val="single" w:color="AACCDD" w:sz="4"/>
              <w:left w:val="single" w:color="AACCDD" w:sz="4"/>
              <w:bottom w:val="single" w:color="AACCDD" w:sz="4"/>
              <w:right w:val="single" w:color="AACCDD" w:sz="4"/>
            </w:tcBorders>
            <w:shd w:fill="EEF5F9" w:val="clear"/>
            <w:tcMar>
              <w:top w:type="dxa" w:w="80"/>
              <w:left w:type="dxa" w:w="120"/>
              <w:bottom w:type="dxa" w:w="80"/>
              <w:right w:type="dxa" w:w="120"/>
            </w:tcMar>
            <w:vAlign w:val="center"/>
          </w:tcPr>
          <w:p>
            <w:pPr>
              <w:spacing w:after="60" w:before="60"/>
              <w:jc w:val="left"/>
            </w:pPr>
            <w:r>
              <w:rPr>
                <w:b w:val="false"/>
                <w:bCs w:val="false"/>
                <w:color w:val="333333"/>
                <w:sz w:val="18"/>
                <w:szCs w:val="18"/>
              </w:rPr>
              <w:t xml:space="preserve">Bear</w:t>
            </w:r>
          </w:p>
        </w:tc>
        <w:tc>
          <w:tcPr>
            <w:tcW w:type="dxa" w:w="1880"/>
            <w:tcBorders>
              <w:top w:val="single" w:color="AACCDD" w:sz="4"/>
              <w:left w:val="single" w:color="AACCDD" w:sz="4"/>
              <w:bottom w:val="single" w:color="AACCDD" w:sz="4"/>
              <w:right w:val="single" w:color="AACCDD" w:sz="4"/>
            </w:tcBorders>
            <w:shd w:fill="EEF5F9" w:val="clear"/>
            <w:tcMar>
              <w:top w:type="dxa" w:w="80"/>
              <w:left w:type="dxa" w:w="120"/>
              <w:bottom w:type="dxa" w:w="80"/>
              <w:right w:type="dxa" w:w="120"/>
            </w:tcMar>
            <w:vAlign w:val="center"/>
          </w:tcPr>
          <w:p>
            <w:pPr>
              <w:spacing w:after="60" w:before="60"/>
              <w:jc w:val="left"/>
            </w:pPr>
            <w:r>
              <w:rPr>
                <w:b w:val="false"/>
                <w:bCs w:val="false"/>
                <w:color w:val="333333"/>
                <w:sz w:val="18"/>
                <w:szCs w:val="18"/>
              </w:rPr>
              <w:t xml:space="preserve">20%</w:t>
            </w:r>
          </w:p>
        </w:tc>
        <w:tc>
          <w:tcPr>
            <w:tcW w:type="dxa" w:w="2200"/>
            <w:tcBorders>
              <w:top w:val="single" w:color="AACCDD" w:sz="4"/>
              <w:left w:val="single" w:color="AACCDD" w:sz="4"/>
              <w:bottom w:val="single" w:color="AACCDD" w:sz="4"/>
              <w:right w:val="single" w:color="AACCDD" w:sz="4"/>
            </w:tcBorders>
            <w:shd w:fill="EEF5F9" w:val="clear"/>
            <w:tcMar>
              <w:top w:type="dxa" w:w="80"/>
              <w:left w:type="dxa" w:w="120"/>
              <w:bottom w:type="dxa" w:w="80"/>
              <w:right w:type="dxa" w:w="120"/>
            </w:tcMar>
            <w:vAlign w:val="center"/>
          </w:tcPr>
          <w:p>
            <w:pPr>
              <w:spacing w:after="60" w:before="60"/>
              <w:jc w:val="left"/>
            </w:pPr>
            <w:r>
              <w:rPr>
                <w:b w:val="false"/>
                <w:bCs w:val="false"/>
                <w:color w:val="333333"/>
                <w:sz w:val="18"/>
                <w:szCs w:val="18"/>
              </w:rPr>
              <w:t xml:space="preserve">0%</w:t>
            </w:r>
          </w:p>
        </w:tc>
        <w:tc>
          <w:tcPr>
            <w:tcW w:type="dxa" w:w="2200"/>
            <w:tcBorders>
              <w:top w:val="single" w:color="AACCDD" w:sz="4"/>
              <w:left w:val="single" w:color="AACCDD" w:sz="4"/>
              <w:bottom w:val="single" w:color="AACCDD" w:sz="4"/>
              <w:right w:val="single" w:color="AACCDD" w:sz="4"/>
            </w:tcBorders>
            <w:shd w:fill="EEF5F9" w:val="clear"/>
            <w:tcMar>
              <w:top w:type="dxa" w:w="80"/>
              <w:left w:type="dxa" w:w="120"/>
              <w:bottom w:type="dxa" w:w="80"/>
              <w:right w:type="dxa" w:w="120"/>
            </w:tcMar>
            <w:vAlign w:val="center"/>
          </w:tcPr>
          <w:p>
            <w:pPr>
              <w:spacing w:after="60" w:before="60"/>
              <w:jc w:val="left"/>
            </w:pPr>
            <w:r>
              <w:rPr>
                <w:b w:val="false"/>
                <w:bCs w:val="false"/>
                <w:color w:val="333333"/>
                <w:sz w:val="18"/>
                <w:szCs w:val="18"/>
              </w:rPr>
              <w:t xml:space="preserve">30%</w:t>
            </w:r>
          </w:p>
        </w:tc>
        <w:tc>
          <w:tcPr>
            <w:tcW w:type="dxa" w:w="1800"/>
            <w:tcBorders>
              <w:top w:val="single" w:color="AACCDD" w:sz="4"/>
              <w:left w:val="single" w:color="AACCDD" w:sz="4"/>
              <w:bottom w:val="single" w:color="AACCDD" w:sz="4"/>
              <w:right w:val="single" w:color="AACCDD" w:sz="4"/>
            </w:tcBorders>
            <w:shd w:fill="EEF5F9" w:val="clear"/>
            <w:tcMar>
              <w:top w:type="dxa" w:w="80"/>
              <w:left w:type="dxa" w:w="120"/>
              <w:bottom w:type="dxa" w:w="80"/>
              <w:right w:type="dxa" w:w="120"/>
            </w:tcMar>
            <w:vAlign w:val="center"/>
          </w:tcPr>
          <w:p>
            <w:pPr>
              <w:spacing w:after="60" w:before="60"/>
              <w:jc w:val="left"/>
            </w:pPr>
            <w:r>
              <w:rPr>
                <w:b w:val="false"/>
                <w:bCs w:val="false"/>
                <w:color w:val="333333"/>
                <w:sz w:val="18"/>
                <w:szCs w:val="18"/>
              </w:rPr>
              <w:t xml:space="preserve">50%</w:t>
            </w:r>
          </w:p>
        </w:tc>
      </w:tr>
    </w:tbl>
    <w:p>
      <w:pPr>
        <w:spacing w:after="80" w:before="0"/>
      </w:pPr>
    </w:p>
    <w:p>
      <w:pPr>
        <w:spacing w:after="60" w:before="60"/>
        <w:jc w:val="left"/>
      </w:pPr>
      <w:r>
        <w:rPr>
          <w:b/>
          <w:bCs/>
          <w:i w:val="false"/>
          <w:iCs w:val="false"/>
          <w:color w:val="333333"/>
          <w:sz w:val="20"/>
          <w:szCs w:val="20"/>
        </w:rPr>
        <w:t xml:space="preserve">Bear regime note: Only 50% of capital is deployed in bear markets — system automatically holds 50% cash as risk protection.</w:t>
      </w:r>
    </w:p>
    <w:p>
      <w:pPr>
        <w:spacing w:after="80" w:before="0"/>
      </w:pPr>
    </w:p>
    <w:p>
      <w:r>
        <w:br w:type="page"/>
      </w:r>
    </w:p>
    <w:p>
      <w:pPr>
        <w:pStyle w:val="Heading1"/>
        <w:shd w:fill="1a2744" w:val="clear"/>
        <w:spacing w:after="160" w:before="280"/>
      </w:pPr>
      <w:r>
        <w:rPr>
          <w:b/>
          <w:bCs/>
          <w:color w:val="FFFFFF"/>
          <w:sz w:val="32"/>
          <w:szCs w:val="32"/>
        </w:rPr>
        <w:t xml:space="preserve">SECTION 7: RISK MANAGEMENT FRAMEWORK</w:t>
      </w:r>
    </w:p>
    <w:p>
      <w:pPr>
        <w:spacing w:after="80" w:before="0"/>
      </w:pPr>
    </w:p>
    <w:p>
      <w:pPr>
        <w:pStyle w:val="Heading2"/>
        <w:pBdr>
          <w:bottom w:val="single" w:color="2C4A8C" w:sz="6"/>
        </w:pBdr>
        <w:spacing w:after="100" w:before="200"/>
      </w:pPr>
      <w:r>
        <w:rPr>
          <w:b/>
          <w:bCs/>
          <w:color w:val="1a2744"/>
          <w:sz w:val="24"/>
          <w:szCs w:val="24"/>
        </w:rPr>
        <w:t xml:space="preserve">7.1  Three-Layer Risk System</w:t>
      </w:r>
    </w:p>
    <w:p>
      <w:pPr>
        <w:spacing w:after="40" w:before="0"/>
      </w:pPr>
    </w:p>
    <w:p>
      <w:pPr>
        <w:spacing w:after="60" w:before="60"/>
        <w:jc w:val="left"/>
      </w:pPr>
      <w:r>
        <w:rPr>
          <w:b/>
          <w:bCs/>
          <w:i w:val="false"/>
          <w:iCs w:val="false"/>
          <w:color w:val="1a2744"/>
          <w:sz w:val="20"/>
          <w:szCs w:val="20"/>
        </w:rPr>
        <w:t xml:space="preserve">Layer 1 — Position Level (Per Trade):</w:t>
      </w:r>
    </w:p>
    <w:p>
      <w:pPr>
        <w:pStyle w:val="ListParagraph"/>
        <w:numPr>
          <w:ilvl w:val="0"/>
          <w:numId w:val="2"/>
        </w:numPr>
        <w:spacing w:after="40" w:before="40"/>
      </w:pPr>
      <w:r>
        <w:rPr>
          <w:b w:val="false"/>
          <w:bCs w:val="false"/>
          <w:color w:val="333333"/>
          <w:sz w:val="20"/>
          <w:szCs w:val="20"/>
        </w:rPr>
        <w:t xml:space="preserve">ATR Hard Stop: Each position has a hard stop at 1.5x ATR below entry</w:t>
      </w:r>
    </w:p>
    <w:p>
      <w:pPr>
        <w:pStyle w:val="ListParagraph"/>
        <w:numPr>
          <w:ilvl w:val="0"/>
          <w:numId w:val="2"/>
        </w:numPr>
        <w:spacing w:after="40" w:before="40"/>
      </w:pPr>
      <w:r>
        <w:rPr>
          <w:b w:val="false"/>
          <w:bCs w:val="false"/>
          <w:color w:val="333333"/>
          <w:sz w:val="20"/>
          <w:szCs w:val="20"/>
        </w:rPr>
        <w:t xml:space="preserve">Trailing Stop: Once position gains 0.5x ATR, trailing stop activates at 1.5x ATR from peak</w:t>
      </w:r>
    </w:p>
    <w:p>
      <w:pPr>
        <w:pStyle w:val="ListParagraph"/>
        <w:numPr>
          <w:ilvl w:val="0"/>
          <w:numId w:val="2"/>
        </w:numPr>
        <w:spacing w:after="40" w:before="40"/>
      </w:pPr>
      <w:r>
        <w:rPr>
          <w:b w:val="false"/>
          <w:bCs w:val="false"/>
          <w:color w:val="333333"/>
          <w:sz w:val="20"/>
          <w:szCs w:val="20"/>
        </w:rPr>
        <w:t xml:space="preserve">Liquidity filter: No entry if average daily volume &lt; 500,000</w:t>
      </w:r>
    </w:p>
    <w:p>
      <w:pPr>
        <w:spacing w:after="80" w:before="0"/>
      </w:pPr>
    </w:p>
    <w:p>
      <w:pPr>
        <w:spacing w:after="60" w:before="60"/>
        <w:jc w:val="left"/>
      </w:pPr>
      <w:r>
        <w:rPr>
          <w:b/>
          <w:bCs/>
          <w:i w:val="false"/>
          <w:iCs w:val="false"/>
          <w:color w:val="1a2744"/>
          <w:sz w:val="20"/>
          <w:szCs w:val="20"/>
        </w:rPr>
        <w:t xml:space="preserve">Layer 2 — Portfolio Level (Cross-Position):</w:t>
      </w:r>
    </w:p>
    <w:p>
      <w:pPr>
        <w:pStyle w:val="ListParagraph"/>
        <w:numPr>
          <w:ilvl w:val="0"/>
          <w:numId w:val="2"/>
        </w:numPr>
        <w:spacing w:after="40" w:before="40"/>
      </w:pPr>
      <w:r>
        <w:rPr>
          <w:b w:val="false"/>
          <w:bCs w:val="false"/>
          <w:color w:val="333333"/>
          <w:sz w:val="20"/>
          <w:szCs w:val="20"/>
        </w:rPr>
        <w:t xml:space="preserve">Sector concentration: Maximum sector exposure limits</w:t>
      </w:r>
    </w:p>
    <w:p>
      <w:pPr>
        <w:pStyle w:val="ListParagraph"/>
        <w:numPr>
          <w:ilvl w:val="0"/>
          <w:numId w:val="2"/>
        </w:numPr>
        <w:spacing w:after="40" w:before="40"/>
      </w:pPr>
      <w:r>
        <w:rPr>
          <w:b w:val="false"/>
          <w:bCs w:val="false"/>
          <w:color w:val="333333"/>
          <w:sz w:val="20"/>
          <w:szCs w:val="20"/>
        </w:rPr>
        <w:t xml:space="preserve">Strategy allocation: No single strategy exceeds 70% of portfolio</w:t>
      </w:r>
    </w:p>
    <w:p>
      <w:pPr>
        <w:pStyle w:val="ListParagraph"/>
        <w:numPr>
          <w:ilvl w:val="0"/>
          <w:numId w:val="2"/>
        </w:numPr>
        <w:spacing w:after="40" w:before="40"/>
      </w:pPr>
      <w:r>
        <w:rPr>
          <w:b w:val="false"/>
          <w:bCs w:val="false"/>
          <w:color w:val="333333"/>
          <w:sz w:val="20"/>
          <w:szCs w:val="20"/>
        </w:rPr>
        <w:t xml:space="preserve">Cash in bear: 50% cash reserve in bear regime</w:t>
      </w:r>
    </w:p>
    <w:p>
      <w:pPr>
        <w:spacing w:after="80" w:before="0"/>
      </w:pPr>
    </w:p>
    <w:p>
      <w:pPr>
        <w:spacing w:after="60" w:before="60"/>
        <w:jc w:val="left"/>
      </w:pPr>
      <w:r>
        <w:rPr>
          <w:b/>
          <w:bCs/>
          <w:i w:val="false"/>
          <w:iCs w:val="false"/>
          <w:color w:val="1a2744"/>
          <w:sz w:val="20"/>
          <w:szCs w:val="20"/>
        </w:rPr>
        <w:t xml:space="preserve">Layer 3 — Market Level (Macro):</w:t>
      </w:r>
    </w:p>
    <w:p>
      <w:pPr>
        <w:spacing w:after="60" w:before="60"/>
        <w:jc w:val="left"/>
      </w:pPr>
      <w:r>
        <w:rPr>
          <w:b w:val="false"/>
          <w:bCs w:val="false"/>
          <w:i w:val="false"/>
          <w:iCs w:val="false"/>
          <w:color w:val="333333"/>
          <w:sz w:val="20"/>
          <w:szCs w:val="20"/>
        </w:rPr>
        <w:t xml:space="preserve">VIX-based global position reduction:</w:t>
      </w:r>
    </w:p>
    <w:p>
      <w:pPr>
        <w:spacing w:after="60" w:before="0"/>
      </w:pPr>
    </w:p>
    <w:tbl>
      <w:tblPr>
        <w:tblW w:type="dxa" w:w="10080"/>
        <w:tblBorders>
          <w:top w:val="single" w:color="AACCDD" w:sz="4"/>
          <w:left w:val="single" w:color="AACCDD" w:sz="4"/>
          <w:bottom w:val="single" w:color="AACCDD" w:sz="4"/>
          <w:right w:val="single" w:color="AACCDD" w:sz="4"/>
          <w:insideH w:val="single" w:color="auto" w:sz="4"/>
          <w:insideV w:val="single" w:color="auto" w:sz="4"/>
        </w:tblBorders>
      </w:tblPr>
      <w:tblGrid>
        <w:gridCol w:w="2800"/>
        <w:gridCol w:w="2400"/>
        <w:gridCol w:w="4880"/>
      </w:tblGrid>
      <w:tr>
        <w:trPr>
          <w:tblHeader/>
        </w:trPr>
        <w:tc>
          <w:tcPr>
            <w:tcW w:type="dxa" w:w="2800"/>
            <w:tcBorders>
              <w:top w:val="single" w:color="AACCDD" w:sz="4"/>
              <w:left w:val="single" w:color="AACCDD" w:sz="4"/>
              <w:bottom w:val="single" w:color="AACCDD" w:sz="4"/>
              <w:right w:val="single" w:color="AACCDD" w:sz="4"/>
            </w:tcBorders>
            <w:shd w:fill="D5E8F0" w:val="clear"/>
            <w:tcMar>
              <w:top w:type="dxa" w:w="80"/>
              <w:left w:type="dxa" w:w="120"/>
              <w:bottom w:type="dxa" w:w="80"/>
              <w:right w:type="dxa" w:w="120"/>
            </w:tcMar>
            <w:vAlign w:val="center"/>
          </w:tcPr>
          <w:p>
            <w:pPr>
              <w:spacing w:after="60" w:before="60"/>
              <w:jc w:val="left"/>
            </w:pPr>
            <w:r>
              <w:rPr>
                <w:b/>
                <w:bCs/>
                <w:color w:val="1a2744"/>
                <w:sz w:val="18"/>
                <w:szCs w:val="18"/>
              </w:rPr>
              <w:t xml:space="preserve">VIX Level</w:t>
            </w:r>
          </w:p>
        </w:tc>
        <w:tc>
          <w:tcPr>
            <w:tcW w:type="dxa" w:w="2400"/>
            <w:tcBorders>
              <w:top w:val="single" w:color="AACCDD" w:sz="4"/>
              <w:left w:val="single" w:color="AACCDD" w:sz="4"/>
              <w:bottom w:val="single" w:color="AACCDD" w:sz="4"/>
              <w:right w:val="single" w:color="AACCDD" w:sz="4"/>
            </w:tcBorders>
            <w:shd w:fill="D5E8F0" w:val="clear"/>
            <w:tcMar>
              <w:top w:type="dxa" w:w="80"/>
              <w:left w:type="dxa" w:w="120"/>
              <w:bottom w:type="dxa" w:w="80"/>
              <w:right w:type="dxa" w:w="120"/>
            </w:tcMar>
            <w:vAlign w:val="center"/>
          </w:tcPr>
          <w:p>
            <w:pPr>
              <w:spacing w:after="60" w:before="60"/>
              <w:jc w:val="left"/>
            </w:pPr>
            <w:r>
              <w:rPr>
                <w:b/>
                <w:bCs/>
                <w:color w:val="1a2744"/>
                <w:sz w:val="18"/>
                <w:szCs w:val="18"/>
              </w:rPr>
              <w:t xml:space="preserve">Position Multiplier</w:t>
            </w:r>
          </w:p>
        </w:tc>
        <w:tc>
          <w:tcPr>
            <w:tcW w:type="dxa" w:w="4880"/>
            <w:tcBorders>
              <w:top w:val="single" w:color="AACCDD" w:sz="4"/>
              <w:left w:val="single" w:color="AACCDD" w:sz="4"/>
              <w:bottom w:val="single" w:color="AACCDD" w:sz="4"/>
              <w:right w:val="single" w:color="AACCDD" w:sz="4"/>
            </w:tcBorders>
            <w:shd w:fill="D5E8F0" w:val="clear"/>
            <w:tcMar>
              <w:top w:type="dxa" w:w="80"/>
              <w:left w:type="dxa" w:w="120"/>
              <w:bottom w:type="dxa" w:w="80"/>
              <w:right w:type="dxa" w:w="120"/>
            </w:tcMar>
            <w:vAlign w:val="center"/>
          </w:tcPr>
          <w:p>
            <w:pPr>
              <w:spacing w:after="60" w:before="60"/>
              <w:jc w:val="left"/>
            </w:pPr>
            <w:r>
              <w:rPr>
                <w:b/>
                <w:bCs/>
                <w:color w:val="1a2744"/>
                <w:sz w:val="18"/>
                <w:szCs w:val="18"/>
              </w:rPr>
              <w:t xml:space="preserve">Effect</w:t>
            </w:r>
          </w:p>
        </w:tc>
      </w:tr>
      <w:tr>
        <w:tc>
          <w:tcPr>
            <w:tcW w:type="dxa" w:w="2800"/>
            <w:tcBorders>
              <w:top w:val="single" w:color="AACCDD" w:sz="4"/>
              <w:left w:val="single" w:color="AACCDD" w:sz="4"/>
              <w:bottom w:val="single" w:color="AACCDD" w:sz="4"/>
              <w:right w:val="single" w:color="AACCDD" w:sz="4"/>
            </w:tcBorders>
            <w:shd w:fill="FFFFFF" w:val="clear"/>
            <w:tcMar>
              <w:top w:type="dxa" w:w="80"/>
              <w:left w:type="dxa" w:w="120"/>
              <w:bottom w:type="dxa" w:w="80"/>
              <w:right w:type="dxa" w:w="120"/>
            </w:tcMar>
            <w:vAlign w:val="center"/>
          </w:tcPr>
          <w:p>
            <w:pPr>
              <w:spacing w:after="60" w:before="60"/>
              <w:jc w:val="left"/>
            </w:pPr>
            <w:r>
              <w:rPr>
                <w:b w:val="false"/>
                <w:bCs w:val="false"/>
                <w:color w:val="333333"/>
                <w:sz w:val="18"/>
                <w:szCs w:val="18"/>
              </w:rPr>
              <w:t xml:space="preserve">&gt; 35 (Panic)</w:t>
            </w:r>
          </w:p>
        </w:tc>
        <w:tc>
          <w:tcPr>
            <w:tcW w:type="dxa" w:w="2400"/>
            <w:tcBorders>
              <w:top w:val="single" w:color="AACCDD" w:sz="4"/>
              <w:left w:val="single" w:color="AACCDD" w:sz="4"/>
              <w:bottom w:val="single" w:color="AACCDD" w:sz="4"/>
              <w:right w:val="single" w:color="AACCDD" w:sz="4"/>
            </w:tcBorders>
            <w:shd w:fill="FFFFFF" w:val="clear"/>
            <w:tcMar>
              <w:top w:type="dxa" w:w="80"/>
              <w:left w:type="dxa" w:w="120"/>
              <w:bottom w:type="dxa" w:w="80"/>
              <w:right w:type="dxa" w:w="120"/>
            </w:tcMar>
            <w:vAlign w:val="center"/>
          </w:tcPr>
          <w:p>
            <w:pPr>
              <w:spacing w:after="60" w:before="60"/>
              <w:jc w:val="left"/>
            </w:pPr>
            <w:r>
              <w:rPr>
                <w:b w:val="false"/>
                <w:bCs w:val="false"/>
                <w:color w:val="333333"/>
                <w:sz w:val="18"/>
                <w:szCs w:val="18"/>
              </w:rPr>
              <w:t xml:space="preserve">0.70×</w:t>
            </w:r>
          </w:p>
        </w:tc>
        <w:tc>
          <w:tcPr>
            <w:tcW w:type="dxa" w:w="4880"/>
            <w:tcBorders>
              <w:top w:val="single" w:color="AACCDD" w:sz="4"/>
              <w:left w:val="single" w:color="AACCDD" w:sz="4"/>
              <w:bottom w:val="single" w:color="AACCDD" w:sz="4"/>
              <w:right w:val="single" w:color="AACCDD" w:sz="4"/>
            </w:tcBorders>
            <w:shd w:fill="FFFFFF" w:val="clear"/>
            <w:tcMar>
              <w:top w:type="dxa" w:w="80"/>
              <w:left w:type="dxa" w:w="120"/>
              <w:bottom w:type="dxa" w:w="80"/>
              <w:right w:type="dxa" w:w="120"/>
            </w:tcMar>
            <w:vAlign w:val="center"/>
          </w:tcPr>
          <w:p>
            <w:pPr>
              <w:spacing w:after="60" w:before="60"/>
              <w:jc w:val="left"/>
            </w:pPr>
            <w:r>
              <w:rPr>
                <w:b w:val="false"/>
                <w:bCs w:val="false"/>
                <w:color w:val="333333"/>
                <w:sz w:val="18"/>
                <w:szCs w:val="18"/>
              </w:rPr>
              <w:t xml:space="preserve">All positions reduced 30%</w:t>
            </w:r>
          </w:p>
        </w:tc>
      </w:tr>
      <w:tr>
        <w:tc>
          <w:tcPr>
            <w:tcW w:type="dxa" w:w="2800"/>
            <w:tcBorders>
              <w:top w:val="single" w:color="AACCDD" w:sz="4"/>
              <w:left w:val="single" w:color="AACCDD" w:sz="4"/>
              <w:bottom w:val="single" w:color="AACCDD" w:sz="4"/>
              <w:right w:val="single" w:color="AACCDD" w:sz="4"/>
            </w:tcBorders>
            <w:shd w:fill="EEF5F9" w:val="clear"/>
            <w:tcMar>
              <w:top w:type="dxa" w:w="80"/>
              <w:left w:type="dxa" w:w="120"/>
              <w:bottom w:type="dxa" w:w="80"/>
              <w:right w:type="dxa" w:w="120"/>
            </w:tcMar>
            <w:vAlign w:val="center"/>
          </w:tcPr>
          <w:p>
            <w:pPr>
              <w:spacing w:after="60" w:before="60"/>
              <w:jc w:val="left"/>
            </w:pPr>
            <w:r>
              <w:rPr>
                <w:b w:val="false"/>
                <w:bCs w:val="false"/>
                <w:color w:val="333333"/>
                <w:sz w:val="18"/>
                <w:szCs w:val="18"/>
              </w:rPr>
              <w:t xml:space="preserve">25–35 (Elevated)</w:t>
            </w:r>
          </w:p>
        </w:tc>
        <w:tc>
          <w:tcPr>
            <w:tcW w:type="dxa" w:w="2400"/>
            <w:tcBorders>
              <w:top w:val="single" w:color="AACCDD" w:sz="4"/>
              <w:left w:val="single" w:color="AACCDD" w:sz="4"/>
              <w:bottom w:val="single" w:color="AACCDD" w:sz="4"/>
              <w:right w:val="single" w:color="AACCDD" w:sz="4"/>
            </w:tcBorders>
            <w:shd w:fill="EEF5F9" w:val="clear"/>
            <w:tcMar>
              <w:top w:type="dxa" w:w="80"/>
              <w:left w:type="dxa" w:w="120"/>
              <w:bottom w:type="dxa" w:w="80"/>
              <w:right w:type="dxa" w:w="120"/>
            </w:tcMar>
            <w:vAlign w:val="center"/>
          </w:tcPr>
          <w:p>
            <w:pPr>
              <w:spacing w:after="60" w:before="60"/>
              <w:jc w:val="left"/>
            </w:pPr>
            <w:r>
              <w:rPr>
                <w:b w:val="false"/>
                <w:bCs w:val="false"/>
                <w:color w:val="333333"/>
                <w:sz w:val="18"/>
                <w:szCs w:val="18"/>
              </w:rPr>
              <w:t xml:space="preserve">0.85×</w:t>
            </w:r>
          </w:p>
        </w:tc>
        <w:tc>
          <w:tcPr>
            <w:tcW w:type="dxa" w:w="4880"/>
            <w:tcBorders>
              <w:top w:val="single" w:color="AACCDD" w:sz="4"/>
              <w:left w:val="single" w:color="AACCDD" w:sz="4"/>
              <w:bottom w:val="single" w:color="AACCDD" w:sz="4"/>
              <w:right w:val="single" w:color="AACCDD" w:sz="4"/>
            </w:tcBorders>
            <w:shd w:fill="EEF5F9" w:val="clear"/>
            <w:tcMar>
              <w:top w:type="dxa" w:w="80"/>
              <w:left w:type="dxa" w:w="120"/>
              <w:bottom w:type="dxa" w:w="80"/>
              <w:right w:type="dxa" w:w="120"/>
            </w:tcMar>
            <w:vAlign w:val="center"/>
          </w:tcPr>
          <w:p>
            <w:pPr>
              <w:spacing w:after="60" w:before="60"/>
              <w:jc w:val="left"/>
            </w:pPr>
            <w:r>
              <w:rPr>
                <w:b w:val="false"/>
                <w:bCs w:val="false"/>
                <w:color w:val="333333"/>
                <w:sz w:val="18"/>
                <w:szCs w:val="18"/>
              </w:rPr>
              <w:t xml:space="preserve">All positions reduced 15%</w:t>
            </w:r>
          </w:p>
        </w:tc>
      </w:tr>
      <w:tr>
        <w:tc>
          <w:tcPr>
            <w:tcW w:type="dxa" w:w="2800"/>
            <w:tcBorders>
              <w:top w:val="single" w:color="AACCDD" w:sz="4"/>
              <w:left w:val="single" w:color="AACCDD" w:sz="4"/>
              <w:bottom w:val="single" w:color="AACCDD" w:sz="4"/>
              <w:right w:val="single" w:color="AACCDD" w:sz="4"/>
            </w:tcBorders>
            <w:shd w:fill="FFFFFF" w:val="clear"/>
            <w:tcMar>
              <w:top w:type="dxa" w:w="80"/>
              <w:left w:type="dxa" w:w="120"/>
              <w:bottom w:type="dxa" w:w="80"/>
              <w:right w:type="dxa" w:w="120"/>
            </w:tcMar>
            <w:vAlign w:val="center"/>
          </w:tcPr>
          <w:p>
            <w:pPr>
              <w:spacing w:after="60" w:before="60"/>
              <w:jc w:val="left"/>
            </w:pPr>
            <w:r>
              <w:rPr>
                <w:b w:val="false"/>
                <w:bCs w:val="false"/>
                <w:color w:val="333333"/>
                <w:sz w:val="18"/>
                <w:szCs w:val="18"/>
              </w:rPr>
              <w:t xml:space="preserve">&lt; 25 (Normal)</w:t>
            </w:r>
          </w:p>
        </w:tc>
        <w:tc>
          <w:tcPr>
            <w:tcW w:type="dxa" w:w="2400"/>
            <w:tcBorders>
              <w:top w:val="single" w:color="AACCDD" w:sz="4"/>
              <w:left w:val="single" w:color="AACCDD" w:sz="4"/>
              <w:bottom w:val="single" w:color="AACCDD" w:sz="4"/>
              <w:right w:val="single" w:color="AACCDD" w:sz="4"/>
            </w:tcBorders>
            <w:shd w:fill="FFFFFF" w:val="clear"/>
            <w:tcMar>
              <w:top w:type="dxa" w:w="80"/>
              <w:left w:type="dxa" w:w="120"/>
              <w:bottom w:type="dxa" w:w="80"/>
              <w:right w:type="dxa" w:w="120"/>
            </w:tcMar>
            <w:vAlign w:val="center"/>
          </w:tcPr>
          <w:p>
            <w:pPr>
              <w:spacing w:after="60" w:before="60"/>
              <w:jc w:val="left"/>
            </w:pPr>
            <w:r>
              <w:rPr>
                <w:b w:val="false"/>
                <w:bCs w:val="false"/>
                <w:color w:val="333333"/>
                <w:sz w:val="18"/>
                <w:szCs w:val="18"/>
              </w:rPr>
              <w:t xml:space="preserve">1.00×</w:t>
            </w:r>
          </w:p>
        </w:tc>
        <w:tc>
          <w:tcPr>
            <w:tcW w:type="dxa" w:w="4880"/>
            <w:tcBorders>
              <w:top w:val="single" w:color="AACCDD" w:sz="4"/>
              <w:left w:val="single" w:color="AACCDD" w:sz="4"/>
              <w:bottom w:val="single" w:color="AACCDD" w:sz="4"/>
              <w:right w:val="single" w:color="AACCDD" w:sz="4"/>
            </w:tcBorders>
            <w:shd w:fill="FFFFFF" w:val="clear"/>
            <w:tcMar>
              <w:top w:type="dxa" w:w="80"/>
              <w:left w:type="dxa" w:w="120"/>
              <w:bottom w:type="dxa" w:w="80"/>
              <w:right w:type="dxa" w:w="120"/>
            </w:tcMar>
            <w:vAlign w:val="center"/>
          </w:tcPr>
          <w:p>
            <w:pPr>
              <w:spacing w:after="60" w:before="60"/>
              <w:jc w:val="left"/>
            </w:pPr>
            <w:r>
              <w:rPr>
                <w:b w:val="false"/>
                <w:bCs w:val="false"/>
                <w:color w:val="333333"/>
                <w:sz w:val="18"/>
                <w:szCs w:val="18"/>
              </w:rPr>
              <w:t xml:space="preserve">No adjustment</w:t>
            </w:r>
          </w:p>
        </w:tc>
      </w:tr>
    </w:tbl>
    <w:p>
      <w:pPr>
        <w:spacing w:after="120" w:before="0"/>
      </w:pPr>
    </w:p>
    <w:p>
      <w:pPr>
        <w:pStyle w:val="Heading2"/>
        <w:pBdr>
          <w:bottom w:val="single" w:color="2C4A8C" w:sz="6"/>
        </w:pBdr>
        <w:spacing w:after="100" w:before="200"/>
      </w:pPr>
      <w:r>
        <w:rPr>
          <w:b/>
          <w:bCs/>
          <w:color w:val="1a2744"/>
          <w:sz w:val="24"/>
          <w:szCs w:val="24"/>
        </w:rPr>
        <w:t xml:space="preserve">7.2  Maximum Drawdown Analysis</w:t>
      </w:r>
    </w:p>
    <w:p>
      <w:pPr>
        <w:spacing w:after="60" w:before="0"/>
      </w:pPr>
    </w:p>
    <w:tbl>
      <w:tblPr>
        <w:tblW w:type="dxa" w:w="10080"/>
        <w:tblBorders>
          <w:top w:val="single" w:color="AACCDD" w:sz="4"/>
          <w:left w:val="single" w:color="AACCDD" w:sz="4"/>
          <w:bottom w:val="single" w:color="AACCDD" w:sz="4"/>
          <w:right w:val="single" w:color="AACCDD" w:sz="4"/>
          <w:insideH w:val="single" w:color="auto" w:sz="4"/>
          <w:insideV w:val="single" w:color="auto" w:sz="4"/>
        </w:tblBorders>
      </w:tblPr>
      <w:tblGrid>
        <w:gridCol w:w="1800"/>
        <w:gridCol w:w="3000"/>
        <w:gridCol w:w="2800"/>
        <w:gridCol w:w="2480"/>
      </w:tblGrid>
      <w:tr>
        <w:trPr>
          <w:tblHeader/>
        </w:trPr>
        <w:tc>
          <w:tcPr>
            <w:tcW w:type="dxa" w:w="1800"/>
            <w:tcBorders>
              <w:top w:val="single" w:color="AACCDD" w:sz="4"/>
              <w:left w:val="single" w:color="AACCDD" w:sz="4"/>
              <w:bottom w:val="single" w:color="AACCDD" w:sz="4"/>
              <w:right w:val="single" w:color="AACCDD" w:sz="4"/>
            </w:tcBorders>
            <w:shd w:fill="D5E8F0" w:val="clear"/>
            <w:tcMar>
              <w:top w:type="dxa" w:w="80"/>
              <w:left w:type="dxa" w:w="120"/>
              <w:bottom w:type="dxa" w:w="80"/>
              <w:right w:type="dxa" w:w="120"/>
            </w:tcMar>
            <w:vAlign w:val="center"/>
          </w:tcPr>
          <w:p>
            <w:pPr>
              <w:spacing w:after="60" w:before="60"/>
              <w:jc w:val="left"/>
            </w:pPr>
            <w:r>
              <w:rPr>
                <w:b/>
                <w:bCs/>
                <w:color w:val="1a2744"/>
                <w:sz w:val="18"/>
                <w:szCs w:val="18"/>
              </w:rPr>
              <w:t xml:space="preserve">Period</w:t>
            </w:r>
          </w:p>
        </w:tc>
        <w:tc>
          <w:tcPr>
            <w:tcW w:type="dxa" w:w="3000"/>
            <w:tcBorders>
              <w:top w:val="single" w:color="AACCDD" w:sz="4"/>
              <w:left w:val="single" w:color="AACCDD" w:sz="4"/>
              <w:bottom w:val="single" w:color="AACCDD" w:sz="4"/>
              <w:right w:val="single" w:color="AACCDD" w:sz="4"/>
            </w:tcBorders>
            <w:shd w:fill="D5E8F0" w:val="clear"/>
            <w:tcMar>
              <w:top w:type="dxa" w:w="80"/>
              <w:left w:type="dxa" w:w="120"/>
              <w:bottom w:type="dxa" w:w="80"/>
              <w:right w:type="dxa" w:w="120"/>
            </w:tcMar>
            <w:vAlign w:val="center"/>
          </w:tcPr>
          <w:p>
            <w:pPr>
              <w:spacing w:after="60" w:before="60"/>
              <w:jc w:val="left"/>
            </w:pPr>
            <w:r>
              <w:rPr>
                <w:b/>
                <w:bCs/>
                <w:color w:val="1a2744"/>
                <w:sz w:val="18"/>
                <w:szCs w:val="18"/>
              </w:rPr>
              <w:t xml:space="preserve">Market Event</w:t>
            </w:r>
          </w:p>
        </w:tc>
        <w:tc>
          <w:tcPr>
            <w:tcW w:type="dxa" w:w="2800"/>
            <w:tcBorders>
              <w:top w:val="single" w:color="AACCDD" w:sz="4"/>
              <w:left w:val="single" w:color="AACCDD" w:sz="4"/>
              <w:bottom w:val="single" w:color="AACCDD" w:sz="4"/>
              <w:right w:val="single" w:color="AACCDD" w:sz="4"/>
            </w:tcBorders>
            <w:shd w:fill="D5E8F0" w:val="clear"/>
            <w:tcMar>
              <w:top w:type="dxa" w:w="80"/>
              <w:left w:type="dxa" w:w="120"/>
              <w:bottom w:type="dxa" w:w="80"/>
              <w:right w:type="dxa" w:w="120"/>
            </w:tcMar>
            <w:vAlign w:val="center"/>
          </w:tcPr>
          <w:p>
            <w:pPr>
              <w:spacing w:after="60" w:before="60"/>
              <w:jc w:val="left"/>
            </w:pPr>
            <w:r>
              <w:rPr>
                <w:b/>
                <w:bCs/>
                <w:color w:val="1a2744"/>
                <w:sz w:val="18"/>
                <w:szCs w:val="18"/>
              </w:rPr>
              <w:t xml:space="preserve">StockQueen V4 Drawdown</w:t>
            </w:r>
          </w:p>
        </w:tc>
        <w:tc>
          <w:tcPr>
            <w:tcW w:type="dxa" w:w="2480"/>
            <w:tcBorders>
              <w:top w:val="single" w:color="AACCDD" w:sz="4"/>
              <w:left w:val="single" w:color="AACCDD" w:sz="4"/>
              <w:bottom w:val="single" w:color="AACCDD" w:sz="4"/>
              <w:right w:val="single" w:color="AACCDD" w:sz="4"/>
            </w:tcBorders>
            <w:shd w:fill="D5E8F0" w:val="clear"/>
            <w:tcMar>
              <w:top w:type="dxa" w:w="80"/>
              <w:left w:type="dxa" w:w="120"/>
              <w:bottom w:type="dxa" w:w="80"/>
              <w:right w:type="dxa" w:w="120"/>
            </w:tcMar>
            <w:vAlign w:val="center"/>
          </w:tcPr>
          <w:p>
            <w:pPr>
              <w:spacing w:after="60" w:before="60"/>
              <w:jc w:val="left"/>
            </w:pPr>
            <w:r>
              <w:rPr>
                <w:b/>
                <w:bCs/>
                <w:color w:val="1a2744"/>
                <w:sz w:val="18"/>
                <w:szCs w:val="18"/>
              </w:rPr>
              <w:t xml:space="preserve">S&amp;P 500 Drawdown</w:t>
            </w:r>
          </w:p>
        </w:tc>
      </w:tr>
      <w:tr>
        <w:tc>
          <w:tcPr>
            <w:tcW w:type="dxa" w:w="1800"/>
            <w:tcBorders>
              <w:top w:val="single" w:color="AACCDD" w:sz="4"/>
              <w:left w:val="single" w:color="AACCDD" w:sz="4"/>
              <w:bottom w:val="single" w:color="AACCDD" w:sz="4"/>
              <w:right w:val="single" w:color="AACCDD" w:sz="4"/>
            </w:tcBorders>
            <w:shd w:fill="FFFFFF" w:val="clear"/>
            <w:tcMar>
              <w:top w:type="dxa" w:w="80"/>
              <w:left w:type="dxa" w:w="120"/>
              <w:bottom w:type="dxa" w:w="80"/>
              <w:right w:type="dxa" w:w="120"/>
            </w:tcMar>
            <w:vAlign w:val="center"/>
          </w:tcPr>
          <w:p>
            <w:pPr>
              <w:spacing w:after="60" w:before="60"/>
              <w:jc w:val="left"/>
            </w:pPr>
            <w:r>
              <w:rPr>
                <w:b w:val="false"/>
                <w:bCs w:val="false"/>
                <w:color w:val="333333"/>
                <w:sz w:val="18"/>
                <w:szCs w:val="18"/>
              </w:rPr>
              <w:t xml:space="preserve">2020 Q1</w:t>
            </w:r>
          </w:p>
        </w:tc>
        <w:tc>
          <w:tcPr>
            <w:tcW w:type="dxa" w:w="3000"/>
            <w:tcBorders>
              <w:top w:val="single" w:color="AACCDD" w:sz="4"/>
              <w:left w:val="single" w:color="AACCDD" w:sz="4"/>
              <w:bottom w:val="single" w:color="AACCDD" w:sz="4"/>
              <w:right w:val="single" w:color="AACCDD" w:sz="4"/>
            </w:tcBorders>
            <w:shd w:fill="FFFFFF" w:val="clear"/>
            <w:tcMar>
              <w:top w:type="dxa" w:w="80"/>
              <w:left w:type="dxa" w:w="120"/>
              <w:bottom w:type="dxa" w:w="80"/>
              <w:right w:type="dxa" w:w="120"/>
            </w:tcMar>
            <w:vAlign w:val="center"/>
          </w:tcPr>
          <w:p>
            <w:pPr>
              <w:spacing w:after="60" w:before="60"/>
              <w:jc w:val="left"/>
            </w:pPr>
            <w:r>
              <w:rPr>
                <w:b w:val="false"/>
                <w:bCs w:val="false"/>
                <w:color w:val="333333"/>
                <w:sz w:val="18"/>
                <w:szCs w:val="18"/>
              </w:rPr>
              <w:t xml:space="preserve">COVID Crash</w:t>
            </w:r>
          </w:p>
        </w:tc>
        <w:tc>
          <w:tcPr>
            <w:tcW w:type="dxa" w:w="2800"/>
            <w:tcBorders>
              <w:top w:val="single" w:color="AACCDD" w:sz="4"/>
              <w:left w:val="single" w:color="AACCDD" w:sz="4"/>
              <w:bottom w:val="single" w:color="AACCDD" w:sz="4"/>
              <w:right w:val="single" w:color="AACCDD" w:sz="4"/>
            </w:tcBorders>
            <w:shd w:fill="FFFFFF" w:val="clear"/>
            <w:tcMar>
              <w:top w:type="dxa" w:w="80"/>
              <w:left w:type="dxa" w:w="120"/>
              <w:bottom w:type="dxa" w:w="80"/>
              <w:right w:type="dxa" w:w="120"/>
            </w:tcMar>
            <w:vAlign w:val="center"/>
          </w:tcPr>
          <w:p>
            <w:pPr>
              <w:spacing w:after="60" w:before="60"/>
              <w:jc w:val="left"/>
            </w:pPr>
            <w:r>
              <w:rPr>
                <w:b w:val="false"/>
                <w:bCs w:val="false"/>
                <w:color w:val="333333"/>
                <w:sz w:val="18"/>
                <w:szCs w:val="18"/>
              </w:rPr>
              <w:t xml:space="preserve">~-15%</w:t>
            </w:r>
          </w:p>
        </w:tc>
        <w:tc>
          <w:tcPr>
            <w:tcW w:type="dxa" w:w="2480"/>
            <w:tcBorders>
              <w:top w:val="single" w:color="AACCDD" w:sz="4"/>
              <w:left w:val="single" w:color="AACCDD" w:sz="4"/>
              <w:bottom w:val="single" w:color="AACCDD" w:sz="4"/>
              <w:right w:val="single" w:color="AACCDD" w:sz="4"/>
            </w:tcBorders>
            <w:shd w:fill="FFFFFF" w:val="clear"/>
            <w:tcMar>
              <w:top w:type="dxa" w:w="80"/>
              <w:left w:type="dxa" w:w="120"/>
              <w:bottom w:type="dxa" w:w="80"/>
              <w:right w:type="dxa" w:w="120"/>
            </w:tcMar>
            <w:vAlign w:val="center"/>
          </w:tcPr>
          <w:p>
            <w:pPr>
              <w:spacing w:after="60" w:before="60"/>
              <w:jc w:val="left"/>
            </w:pPr>
            <w:r>
              <w:rPr>
                <w:b w:val="false"/>
                <w:bCs w:val="false"/>
                <w:color w:val="333333"/>
                <w:sz w:val="18"/>
                <w:szCs w:val="18"/>
              </w:rPr>
              <w:t xml:space="preserve">-34%</w:t>
            </w:r>
          </w:p>
        </w:tc>
      </w:tr>
      <w:tr>
        <w:tc>
          <w:tcPr>
            <w:tcW w:type="dxa" w:w="1800"/>
            <w:tcBorders>
              <w:top w:val="single" w:color="AACCDD" w:sz="4"/>
              <w:left w:val="single" w:color="AACCDD" w:sz="4"/>
              <w:bottom w:val="single" w:color="AACCDD" w:sz="4"/>
              <w:right w:val="single" w:color="AACCDD" w:sz="4"/>
            </w:tcBorders>
            <w:shd w:fill="EEF5F9" w:val="clear"/>
            <w:tcMar>
              <w:top w:type="dxa" w:w="80"/>
              <w:left w:type="dxa" w:w="120"/>
              <w:bottom w:type="dxa" w:w="80"/>
              <w:right w:type="dxa" w:w="120"/>
            </w:tcMar>
            <w:vAlign w:val="center"/>
          </w:tcPr>
          <w:p>
            <w:pPr>
              <w:spacing w:after="60" w:before="60"/>
              <w:jc w:val="left"/>
            </w:pPr>
            <w:r>
              <w:rPr>
                <w:b w:val="false"/>
                <w:bCs w:val="false"/>
                <w:color w:val="333333"/>
                <w:sz w:val="18"/>
                <w:szCs w:val="18"/>
              </w:rPr>
              <w:t xml:space="preserve">2022 H1</w:t>
            </w:r>
          </w:p>
        </w:tc>
        <w:tc>
          <w:tcPr>
            <w:tcW w:type="dxa" w:w="3000"/>
            <w:tcBorders>
              <w:top w:val="single" w:color="AACCDD" w:sz="4"/>
              <w:left w:val="single" w:color="AACCDD" w:sz="4"/>
              <w:bottom w:val="single" w:color="AACCDD" w:sz="4"/>
              <w:right w:val="single" w:color="AACCDD" w:sz="4"/>
            </w:tcBorders>
            <w:shd w:fill="EEF5F9" w:val="clear"/>
            <w:tcMar>
              <w:top w:type="dxa" w:w="80"/>
              <w:left w:type="dxa" w:w="120"/>
              <w:bottom w:type="dxa" w:w="80"/>
              <w:right w:type="dxa" w:w="120"/>
            </w:tcMar>
            <w:vAlign w:val="center"/>
          </w:tcPr>
          <w:p>
            <w:pPr>
              <w:spacing w:after="60" w:before="60"/>
              <w:jc w:val="left"/>
            </w:pPr>
            <w:r>
              <w:rPr>
                <w:b w:val="false"/>
                <w:bCs w:val="false"/>
                <w:color w:val="333333"/>
                <w:sz w:val="18"/>
                <w:szCs w:val="18"/>
              </w:rPr>
              <w:t xml:space="preserve">Fed Rate Hikes</w:t>
            </w:r>
          </w:p>
        </w:tc>
        <w:tc>
          <w:tcPr>
            <w:tcW w:type="dxa" w:w="2800"/>
            <w:tcBorders>
              <w:top w:val="single" w:color="AACCDD" w:sz="4"/>
              <w:left w:val="single" w:color="AACCDD" w:sz="4"/>
              <w:bottom w:val="single" w:color="AACCDD" w:sz="4"/>
              <w:right w:val="single" w:color="AACCDD" w:sz="4"/>
            </w:tcBorders>
            <w:shd w:fill="EEF5F9" w:val="clear"/>
            <w:tcMar>
              <w:top w:type="dxa" w:w="80"/>
              <w:left w:type="dxa" w:w="120"/>
              <w:bottom w:type="dxa" w:w="80"/>
              <w:right w:type="dxa" w:w="120"/>
            </w:tcMar>
            <w:vAlign w:val="center"/>
          </w:tcPr>
          <w:p>
            <w:pPr>
              <w:spacing w:after="60" w:before="60"/>
              <w:jc w:val="left"/>
            </w:pPr>
            <w:r>
              <w:rPr>
                <w:b w:val="false"/>
                <w:bCs w:val="false"/>
                <w:color w:val="333333"/>
                <w:sz w:val="18"/>
                <w:szCs w:val="18"/>
              </w:rPr>
              <w:t xml:space="preserve">~-12%</w:t>
            </w:r>
          </w:p>
        </w:tc>
        <w:tc>
          <w:tcPr>
            <w:tcW w:type="dxa" w:w="2480"/>
            <w:tcBorders>
              <w:top w:val="single" w:color="AACCDD" w:sz="4"/>
              <w:left w:val="single" w:color="AACCDD" w:sz="4"/>
              <w:bottom w:val="single" w:color="AACCDD" w:sz="4"/>
              <w:right w:val="single" w:color="AACCDD" w:sz="4"/>
            </w:tcBorders>
            <w:shd w:fill="EEF5F9" w:val="clear"/>
            <w:tcMar>
              <w:top w:type="dxa" w:w="80"/>
              <w:left w:type="dxa" w:w="120"/>
              <w:bottom w:type="dxa" w:w="80"/>
              <w:right w:type="dxa" w:w="120"/>
            </w:tcMar>
            <w:vAlign w:val="center"/>
          </w:tcPr>
          <w:p>
            <w:pPr>
              <w:spacing w:after="60" w:before="60"/>
              <w:jc w:val="left"/>
            </w:pPr>
            <w:r>
              <w:rPr>
                <w:b w:val="false"/>
                <w:bCs w:val="false"/>
                <w:color w:val="333333"/>
                <w:sz w:val="18"/>
                <w:szCs w:val="18"/>
              </w:rPr>
              <w:t xml:space="preserve">-24%</w:t>
            </w:r>
          </w:p>
        </w:tc>
      </w:tr>
      <w:tr>
        <w:tc>
          <w:tcPr>
            <w:tcW w:type="dxa" w:w="1800"/>
            <w:tcBorders>
              <w:top w:val="single" w:color="AACCDD" w:sz="4"/>
              <w:left w:val="single" w:color="AACCDD" w:sz="4"/>
              <w:bottom w:val="single" w:color="AACCDD" w:sz="4"/>
              <w:right w:val="single" w:color="AACCDD" w:sz="4"/>
            </w:tcBorders>
            <w:shd w:fill="FFFFFF" w:val="clear"/>
            <w:tcMar>
              <w:top w:type="dxa" w:w="80"/>
              <w:left w:type="dxa" w:w="120"/>
              <w:bottom w:type="dxa" w:w="80"/>
              <w:right w:type="dxa" w:w="120"/>
            </w:tcMar>
            <w:vAlign w:val="center"/>
          </w:tcPr>
          <w:p>
            <w:pPr>
              <w:spacing w:after="60" w:before="60"/>
              <w:jc w:val="left"/>
            </w:pPr>
            <w:r>
              <w:rPr>
                <w:b w:val="false"/>
                <w:bCs w:val="false"/>
                <w:color w:val="333333"/>
                <w:sz w:val="18"/>
                <w:szCs w:val="18"/>
              </w:rPr>
              <w:t xml:space="preserve">All-time (OOS)</w:t>
            </w:r>
          </w:p>
        </w:tc>
        <w:tc>
          <w:tcPr>
            <w:tcW w:type="dxa" w:w="3000"/>
            <w:tcBorders>
              <w:top w:val="single" w:color="AACCDD" w:sz="4"/>
              <w:left w:val="single" w:color="AACCDD" w:sz="4"/>
              <w:bottom w:val="single" w:color="AACCDD" w:sz="4"/>
              <w:right w:val="single" w:color="AACCDD" w:sz="4"/>
            </w:tcBorders>
            <w:shd w:fill="FFFFFF" w:val="clear"/>
            <w:tcMar>
              <w:top w:type="dxa" w:w="80"/>
              <w:left w:type="dxa" w:w="120"/>
              <w:bottom w:type="dxa" w:w="80"/>
              <w:right w:type="dxa" w:w="120"/>
            </w:tcMar>
            <w:vAlign w:val="center"/>
          </w:tcPr>
          <w:p>
            <w:pPr>
              <w:spacing w:after="60" w:before="60"/>
              <w:jc w:val="left"/>
            </w:pPr>
            <w:r>
              <w:rPr>
                <w:b w:val="false"/>
                <w:bCs w:val="false"/>
                <w:color w:val="333333"/>
                <w:sz w:val="18"/>
                <w:szCs w:val="18"/>
              </w:rPr>
              <w:t xml:space="preserve">Any single period</w:t>
            </w:r>
          </w:p>
        </w:tc>
        <w:tc>
          <w:tcPr>
            <w:tcW w:type="dxa" w:w="2800"/>
            <w:tcBorders>
              <w:top w:val="single" w:color="AACCDD" w:sz="4"/>
              <w:left w:val="single" w:color="AACCDD" w:sz="4"/>
              <w:bottom w:val="single" w:color="AACCDD" w:sz="4"/>
              <w:right w:val="single" w:color="AACCDD" w:sz="4"/>
            </w:tcBorders>
            <w:shd w:fill="FFFFFF" w:val="clear"/>
            <w:tcMar>
              <w:top w:type="dxa" w:w="80"/>
              <w:left w:type="dxa" w:w="120"/>
              <w:bottom w:type="dxa" w:w="80"/>
              <w:right w:type="dxa" w:w="120"/>
            </w:tcMar>
            <w:vAlign w:val="center"/>
          </w:tcPr>
          <w:p>
            <w:pPr>
              <w:spacing w:after="60" w:before="60"/>
              <w:jc w:val="left"/>
            </w:pPr>
            <w:r>
              <w:rPr>
                <w:b w:val="false"/>
                <w:bCs w:val="false"/>
                <w:color w:val="333333"/>
                <w:sz w:val="18"/>
                <w:szCs w:val="18"/>
              </w:rPr>
              <w:t xml:space="preserve">-19.1% (maximum)</w:t>
            </w:r>
          </w:p>
        </w:tc>
        <w:tc>
          <w:tcPr>
            <w:tcW w:type="dxa" w:w="2480"/>
            <w:tcBorders>
              <w:top w:val="single" w:color="AACCDD" w:sz="4"/>
              <w:left w:val="single" w:color="AACCDD" w:sz="4"/>
              <w:bottom w:val="single" w:color="AACCDD" w:sz="4"/>
              <w:right w:val="single" w:color="AACCDD" w:sz="4"/>
            </w:tcBorders>
            <w:shd w:fill="FFFFFF" w:val="clear"/>
            <w:tcMar>
              <w:top w:type="dxa" w:w="80"/>
              <w:left w:type="dxa" w:w="120"/>
              <w:bottom w:type="dxa" w:w="80"/>
              <w:right w:type="dxa" w:w="120"/>
            </w:tcMar>
            <w:vAlign w:val="center"/>
          </w:tcPr>
          <w:p>
            <w:pPr>
              <w:spacing w:after="60" w:before="60"/>
              <w:jc w:val="left"/>
            </w:pPr>
            <w:r>
              <w:rPr>
                <w:b w:val="false"/>
                <w:bCs w:val="false"/>
                <w:color w:val="333333"/>
                <w:sz w:val="18"/>
                <w:szCs w:val="18"/>
              </w:rPr>
              <w:t xml:space="preserve">-34% (2022)</w:t>
            </w:r>
          </w:p>
        </w:tc>
      </w:tr>
    </w:tbl>
    <w:p>
      <w:pPr>
        <w:spacing w:after="80" w:before="0"/>
      </w:pPr>
    </w:p>
    <w:p>
      <w:pPr>
        <w:spacing w:after="60" w:before="60"/>
        <w:jc w:val="left"/>
      </w:pPr>
      <w:r>
        <w:rPr>
          <w:b/>
          <w:bCs/>
          <w:i w:val="false"/>
          <w:iCs w:val="false"/>
          <w:color w:val="333333"/>
          <w:sz w:val="20"/>
          <w:szCs w:val="20"/>
        </w:rPr>
        <w:t xml:space="preserve">StockQueen's maximum simulated drawdown of -19.1% compares favourably to the S&amp;P 500's -34% peak drawdown in 2022.</w:t>
      </w:r>
    </w:p>
    <w:p>
      <w:pPr>
        <w:spacing w:after="80" w:before="0"/>
      </w:pPr>
    </w:p>
    <w:p>
      <w:r>
        <w:br w:type="page"/>
      </w:r>
    </w:p>
    <w:p>
      <w:pPr>
        <w:pStyle w:val="Heading1"/>
        <w:shd w:fill="1a2744" w:val="clear"/>
        <w:spacing w:after="160" w:before="280"/>
      </w:pPr>
      <w:r>
        <w:rPr>
          <w:b/>
          <w:bCs/>
          <w:color w:val="FFFFFF"/>
          <w:sz w:val="32"/>
          <w:szCs w:val="32"/>
        </w:rPr>
        <w:t xml:space="preserve">SECTION 8: LIVE SYSTEM STATUS</w:t>
      </w:r>
    </w:p>
    <w:p>
      <w:pPr>
        <w:spacing w:after="80" w:before="0"/>
      </w:pPr>
    </w:p>
    <w:p>
      <w:pPr>
        <w:pStyle w:val="Heading2"/>
        <w:pBdr>
          <w:bottom w:val="single" w:color="2C4A8C" w:sz="6"/>
        </w:pBdr>
        <w:spacing w:after="100" w:before="200"/>
      </w:pPr>
      <w:r>
        <w:rPr>
          <w:b/>
          <w:bCs/>
          <w:color w:val="1a2744"/>
          <w:sz w:val="24"/>
          <w:szCs w:val="24"/>
        </w:rPr>
        <w:t xml:space="preserve">8.1  Production Infrastructure</w:t>
      </w:r>
    </w:p>
    <w:p>
      <w:pPr>
        <w:spacing w:after="60" w:before="0"/>
      </w:pPr>
    </w:p>
    <w:tbl>
      <w:tblPr>
        <w:tblW w:type="dxa" w:w="10080"/>
        <w:tblBorders>
          <w:top w:val="single" w:color="AACCDD" w:sz="4"/>
          <w:left w:val="single" w:color="AACCDD" w:sz="4"/>
          <w:bottom w:val="single" w:color="AACCDD" w:sz="4"/>
          <w:right w:val="single" w:color="AACCDD" w:sz="4"/>
          <w:insideH w:val="single" w:color="auto" w:sz="4"/>
          <w:insideV w:val="single" w:color="auto" w:sz="4"/>
        </w:tblBorders>
      </w:tblPr>
      <w:tblGrid>
        <w:gridCol w:w="2000"/>
        <w:gridCol w:w="2400"/>
        <w:gridCol w:w="3000"/>
        <w:gridCol w:w="2680"/>
      </w:tblGrid>
      <w:tr>
        <w:trPr>
          <w:tblHeader/>
        </w:trPr>
        <w:tc>
          <w:tcPr>
            <w:tcW w:type="dxa" w:w="2000"/>
            <w:tcBorders>
              <w:top w:val="single" w:color="AACCDD" w:sz="4"/>
              <w:left w:val="single" w:color="AACCDD" w:sz="4"/>
              <w:bottom w:val="single" w:color="AACCDD" w:sz="4"/>
              <w:right w:val="single" w:color="AACCDD" w:sz="4"/>
            </w:tcBorders>
            <w:shd w:fill="D5E8F0" w:val="clear"/>
            <w:tcMar>
              <w:top w:type="dxa" w:w="80"/>
              <w:left w:type="dxa" w:w="120"/>
              <w:bottom w:type="dxa" w:w="80"/>
              <w:right w:type="dxa" w:w="120"/>
            </w:tcMar>
            <w:vAlign w:val="center"/>
          </w:tcPr>
          <w:p>
            <w:pPr>
              <w:spacing w:after="60" w:before="60"/>
              <w:jc w:val="left"/>
            </w:pPr>
            <w:r>
              <w:rPr>
                <w:b/>
                <w:bCs/>
                <w:color w:val="1a2744"/>
                <w:sz w:val="18"/>
                <w:szCs w:val="18"/>
              </w:rPr>
              <w:t xml:space="preserve">Component</w:t>
            </w:r>
          </w:p>
        </w:tc>
        <w:tc>
          <w:tcPr>
            <w:tcW w:type="dxa" w:w="2400"/>
            <w:tcBorders>
              <w:top w:val="single" w:color="AACCDD" w:sz="4"/>
              <w:left w:val="single" w:color="AACCDD" w:sz="4"/>
              <w:bottom w:val="single" w:color="AACCDD" w:sz="4"/>
              <w:right w:val="single" w:color="AACCDD" w:sz="4"/>
            </w:tcBorders>
            <w:shd w:fill="D5E8F0" w:val="clear"/>
            <w:tcMar>
              <w:top w:type="dxa" w:w="80"/>
              <w:left w:type="dxa" w:w="120"/>
              <w:bottom w:type="dxa" w:w="80"/>
              <w:right w:type="dxa" w:w="120"/>
            </w:tcMar>
            <w:vAlign w:val="center"/>
          </w:tcPr>
          <w:p>
            <w:pPr>
              <w:spacing w:after="60" w:before="60"/>
              <w:jc w:val="left"/>
            </w:pPr>
            <w:r>
              <w:rPr>
                <w:b/>
                <w:bCs/>
                <w:color w:val="1a2744"/>
                <w:sz w:val="18"/>
                <w:szCs w:val="18"/>
              </w:rPr>
              <w:t xml:space="preserve">Provider</w:t>
            </w:r>
          </w:p>
        </w:tc>
        <w:tc>
          <w:tcPr>
            <w:tcW w:type="dxa" w:w="3000"/>
            <w:tcBorders>
              <w:top w:val="single" w:color="AACCDD" w:sz="4"/>
              <w:left w:val="single" w:color="AACCDD" w:sz="4"/>
              <w:bottom w:val="single" w:color="AACCDD" w:sz="4"/>
              <w:right w:val="single" w:color="AACCDD" w:sz="4"/>
            </w:tcBorders>
            <w:shd w:fill="D5E8F0" w:val="clear"/>
            <w:tcMar>
              <w:top w:type="dxa" w:w="80"/>
              <w:left w:type="dxa" w:w="120"/>
              <w:bottom w:type="dxa" w:w="80"/>
              <w:right w:type="dxa" w:w="120"/>
            </w:tcMar>
            <w:vAlign w:val="center"/>
          </w:tcPr>
          <w:p>
            <w:pPr>
              <w:spacing w:after="60" w:before="60"/>
              <w:jc w:val="left"/>
            </w:pPr>
            <w:r>
              <w:rPr>
                <w:b/>
                <w:bCs/>
                <w:color w:val="1a2744"/>
                <w:sz w:val="18"/>
                <w:szCs w:val="18"/>
              </w:rPr>
              <w:t xml:space="preserve">Purpose</w:t>
            </w:r>
          </w:p>
        </w:tc>
        <w:tc>
          <w:tcPr>
            <w:tcW w:type="dxa" w:w="2680"/>
            <w:tcBorders>
              <w:top w:val="single" w:color="AACCDD" w:sz="4"/>
              <w:left w:val="single" w:color="AACCDD" w:sz="4"/>
              <w:bottom w:val="single" w:color="AACCDD" w:sz="4"/>
              <w:right w:val="single" w:color="AACCDD" w:sz="4"/>
            </w:tcBorders>
            <w:shd w:fill="D5E8F0" w:val="clear"/>
            <w:tcMar>
              <w:top w:type="dxa" w:w="80"/>
              <w:left w:type="dxa" w:w="120"/>
              <w:bottom w:type="dxa" w:w="80"/>
              <w:right w:type="dxa" w:w="120"/>
            </w:tcMar>
            <w:vAlign w:val="center"/>
          </w:tcPr>
          <w:p>
            <w:pPr>
              <w:spacing w:after="60" w:before="60"/>
              <w:jc w:val="left"/>
            </w:pPr>
            <w:r>
              <w:rPr>
                <w:b/>
                <w:bCs/>
                <w:color w:val="1a2744"/>
                <w:sz w:val="18"/>
                <w:szCs w:val="18"/>
              </w:rPr>
              <w:t xml:space="preserve">Status</w:t>
            </w:r>
          </w:p>
        </w:tc>
      </w:tr>
      <w:tr>
        <w:tc>
          <w:tcPr>
            <w:tcW w:type="dxa" w:w="2000"/>
            <w:tcBorders>
              <w:top w:val="single" w:color="AACCDD" w:sz="4"/>
              <w:left w:val="single" w:color="AACCDD" w:sz="4"/>
              <w:bottom w:val="single" w:color="AACCDD" w:sz="4"/>
              <w:right w:val="single" w:color="AACCDD" w:sz="4"/>
            </w:tcBorders>
            <w:shd w:fill="FFFFFF" w:val="clear"/>
            <w:tcMar>
              <w:top w:type="dxa" w:w="80"/>
              <w:left w:type="dxa" w:w="120"/>
              <w:bottom w:type="dxa" w:w="80"/>
              <w:right w:type="dxa" w:w="120"/>
            </w:tcMar>
            <w:vAlign w:val="center"/>
          </w:tcPr>
          <w:p>
            <w:pPr>
              <w:spacing w:after="60" w:before="60"/>
              <w:jc w:val="left"/>
            </w:pPr>
            <w:r>
              <w:rPr>
                <w:b w:val="false"/>
                <w:bCs w:val="false"/>
                <w:color w:val="333333"/>
                <w:sz w:val="18"/>
                <w:szCs w:val="18"/>
              </w:rPr>
              <w:t xml:space="preserve">Backend API</w:t>
            </w:r>
          </w:p>
        </w:tc>
        <w:tc>
          <w:tcPr>
            <w:tcW w:type="dxa" w:w="2400"/>
            <w:tcBorders>
              <w:top w:val="single" w:color="AACCDD" w:sz="4"/>
              <w:left w:val="single" w:color="AACCDD" w:sz="4"/>
              <w:bottom w:val="single" w:color="AACCDD" w:sz="4"/>
              <w:right w:val="single" w:color="AACCDD" w:sz="4"/>
            </w:tcBorders>
            <w:shd w:fill="FFFFFF" w:val="clear"/>
            <w:tcMar>
              <w:top w:type="dxa" w:w="80"/>
              <w:left w:type="dxa" w:w="120"/>
              <w:bottom w:type="dxa" w:w="80"/>
              <w:right w:type="dxa" w:w="120"/>
            </w:tcMar>
            <w:vAlign w:val="center"/>
          </w:tcPr>
          <w:p>
            <w:pPr>
              <w:spacing w:after="60" w:before="60"/>
              <w:jc w:val="left"/>
            </w:pPr>
            <w:r>
              <w:rPr>
                <w:b w:val="false"/>
                <w:bCs w:val="false"/>
                <w:color w:val="333333"/>
                <w:sz w:val="18"/>
                <w:szCs w:val="18"/>
              </w:rPr>
              <w:t xml:space="preserve">Render (paid)</w:t>
            </w:r>
          </w:p>
        </w:tc>
        <w:tc>
          <w:tcPr>
            <w:tcW w:type="dxa" w:w="3000"/>
            <w:tcBorders>
              <w:top w:val="single" w:color="AACCDD" w:sz="4"/>
              <w:left w:val="single" w:color="AACCDD" w:sz="4"/>
              <w:bottom w:val="single" w:color="AACCDD" w:sz="4"/>
              <w:right w:val="single" w:color="AACCDD" w:sz="4"/>
            </w:tcBorders>
            <w:shd w:fill="FFFFFF" w:val="clear"/>
            <w:tcMar>
              <w:top w:type="dxa" w:w="80"/>
              <w:left w:type="dxa" w:w="120"/>
              <w:bottom w:type="dxa" w:w="80"/>
              <w:right w:type="dxa" w:w="120"/>
            </w:tcMar>
            <w:vAlign w:val="center"/>
          </w:tcPr>
          <w:p>
            <w:pPr>
              <w:spacing w:after="60" w:before="60"/>
              <w:jc w:val="left"/>
            </w:pPr>
            <w:r>
              <w:rPr>
                <w:b w:val="false"/>
                <w:bCs w:val="false"/>
                <w:color w:val="333333"/>
                <w:sz w:val="18"/>
                <w:szCs w:val="18"/>
              </w:rPr>
              <w:t xml:space="preserve">FastAPI, signal generation</w:t>
            </w:r>
          </w:p>
        </w:tc>
        <w:tc>
          <w:tcPr>
            <w:tcW w:type="dxa" w:w="2680"/>
            <w:tcBorders>
              <w:top w:val="single" w:color="AACCDD" w:sz="4"/>
              <w:left w:val="single" w:color="AACCDD" w:sz="4"/>
              <w:bottom w:val="single" w:color="AACCDD" w:sz="4"/>
              <w:right w:val="single" w:color="AACCDD" w:sz="4"/>
            </w:tcBorders>
            <w:shd w:fill="FFFFFF" w:val="clear"/>
            <w:tcMar>
              <w:top w:type="dxa" w:w="80"/>
              <w:left w:type="dxa" w:w="120"/>
              <w:bottom w:type="dxa" w:w="80"/>
              <w:right w:type="dxa" w:w="120"/>
            </w:tcMar>
            <w:vAlign w:val="center"/>
          </w:tcPr>
          <w:p>
            <w:pPr>
              <w:spacing w:after="60" w:before="60"/>
              <w:jc w:val="left"/>
            </w:pPr>
            <w:r>
              <w:rPr>
                <w:b w:val="false"/>
                <w:bCs w:val="false"/>
                <w:color w:val="333333"/>
                <w:sz w:val="18"/>
                <w:szCs w:val="18"/>
              </w:rPr>
              <w:t xml:space="preserve">Live</w:t>
            </w:r>
          </w:p>
        </w:tc>
      </w:tr>
      <w:tr>
        <w:tc>
          <w:tcPr>
            <w:tcW w:type="dxa" w:w="2000"/>
            <w:tcBorders>
              <w:top w:val="single" w:color="AACCDD" w:sz="4"/>
              <w:left w:val="single" w:color="AACCDD" w:sz="4"/>
              <w:bottom w:val="single" w:color="AACCDD" w:sz="4"/>
              <w:right w:val="single" w:color="AACCDD" w:sz="4"/>
            </w:tcBorders>
            <w:shd w:fill="EEF5F9" w:val="clear"/>
            <w:tcMar>
              <w:top w:type="dxa" w:w="80"/>
              <w:left w:type="dxa" w:w="120"/>
              <w:bottom w:type="dxa" w:w="80"/>
              <w:right w:type="dxa" w:w="120"/>
            </w:tcMar>
            <w:vAlign w:val="center"/>
          </w:tcPr>
          <w:p>
            <w:pPr>
              <w:spacing w:after="60" w:before="60"/>
              <w:jc w:val="left"/>
            </w:pPr>
            <w:r>
              <w:rPr>
                <w:b w:val="false"/>
                <w:bCs w:val="false"/>
                <w:color w:val="333333"/>
                <w:sz w:val="18"/>
                <w:szCs w:val="18"/>
              </w:rPr>
              <w:t xml:space="preserve">Job Scheduler</w:t>
            </w:r>
          </w:p>
        </w:tc>
        <w:tc>
          <w:tcPr>
            <w:tcW w:type="dxa" w:w="2400"/>
            <w:tcBorders>
              <w:top w:val="single" w:color="AACCDD" w:sz="4"/>
              <w:left w:val="single" w:color="AACCDD" w:sz="4"/>
              <w:bottom w:val="single" w:color="AACCDD" w:sz="4"/>
              <w:right w:val="single" w:color="AACCDD" w:sz="4"/>
            </w:tcBorders>
            <w:shd w:fill="EEF5F9" w:val="clear"/>
            <w:tcMar>
              <w:top w:type="dxa" w:w="80"/>
              <w:left w:type="dxa" w:w="120"/>
              <w:bottom w:type="dxa" w:w="80"/>
              <w:right w:type="dxa" w:w="120"/>
            </w:tcMar>
            <w:vAlign w:val="center"/>
          </w:tcPr>
          <w:p>
            <w:pPr>
              <w:spacing w:after="60" w:before="60"/>
              <w:jc w:val="left"/>
            </w:pPr>
            <w:r>
              <w:rPr>
                <w:b w:val="false"/>
                <w:bCs w:val="false"/>
                <w:color w:val="333333"/>
                <w:sz w:val="18"/>
                <w:szCs w:val="18"/>
              </w:rPr>
              <w:t xml:space="preserve">Render Worker</w:t>
            </w:r>
          </w:p>
        </w:tc>
        <w:tc>
          <w:tcPr>
            <w:tcW w:type="dxa" w:w="3000"/>
            <w:tcBorders>
              <w:top w:val="single" w:color="AACCDD" w:sz="4"/>
              <w:left w:val="single" w:color="AACCDD" w:sz="4"/>
              <w:bottom w:val="single" w:color="AACCDD" w:sz="4"/>
              <w:right w:val="single" w:color="AACCDD" w:sz="4"/>
            </w:tcBorders>
            <w:shd w:fill="EEF5F9" w:val="clear"/>
            <w:tcMar>
              <w:top w:type="dxa" w:w="80"/>
              <w:left w:type="dxa" w:w="120"/>
              <w:bottom w:type="dxa" w:w="80"/>
              <w:right w:type="dxa" w:w="120"/>
            </w:tcMar>
            <w:vAlign w:val="center"/>
          </w:tcPr>
          <w:p>
            <w:pPr>
              <w:spacing w:after="60" w:before="60"/>
              <w:jc w:val="left"/>
            </w:pPr>
            <w:r>
              <w:rPr>
                <w:b w:val="false"/>
                <w:bCs w:val="false"/>
                <w:color w:val="333333"/>
                <w:sz w:val="18"/>
                <w:szCs w:val="18"/>
              </w:rPr>
              <w:t xml:space="preserve">21 automated daily/weekly jobs</w:t>
            </w:r>
          </w:p>
        </w:tc>
        <w:tc>
          <w:tcPr>
            <w:tcW w:type="dxa" w:w="2680"/>
            <w:tcBorders>
              <w:top w:val="single" w:color="AACCDD" w:sz="4"/>
              <w:left w:val="single" w:color="AACCDD" w:sz="4"/>
              <w:bottom w:val="single" w:color="AACCDD" w:sz="4"/>
              <w:right w:val="single" w:color="AACCDD" w:sz="4"/>
            </w:tcBorders>
            <w:shd w:fill="EEF5F9" w:val="clear"/>
            <w:tcMar>
              <w:top w:type="dxa" w:w="80"/>
              <w:left w:type="dxa" w:w="120"/>
              <w:bottom w:type="dxa" w:w="80"/>
              <w:right w:type="dxa" w:w="120"/>
            </w:tcMar>
            <w:vAlign w:val="center"/>
          </w:tcPr>
          <w:p>
            <w:pPr>
              <w:spacing w:after="60" w:before="60"/>
              <w:jc w:val="left"/>
            </w:pPr>
            <w:r>
              <w:rPr>
                <w:b w:val="false"/>
                <w:bCs w:val="false"/>
                <w:color w:val="333333"/>
                <w:sz w:val="18"/>
                <w:szCs w:val="18"/>
              </w:rPr>
              <w:t xml:space="preserve">Live</w:t>
            </w:r>
          </w:p>
        </w:tc>
      </w:tr>
      <w:tr>
        <w:tc>
          <w:tcPr>
            <w:tcW w:type="dxa" w:w="2000"/>
            <w:tcBorders>
              <w:top w:val="single" w:color="AACCDD" w:sz="4"/>
              <w:left w:val="single" w:color="AACCDD" w:sz="4"/>
              <w:bottom w:val="single" w:color="AACCDD" w:sz="4"/>
              <w:right w:val="single" w:color="AACCDD" w:sz="4"/>
            </w:tcBorders>
            <w:shd w:fill="FFFFFF" w:val="clear"/>
            <w:tcMar>
              <w:top w:type="dxa" w:w="80"/>
              <w:left w:type="dxa" w:w="120"/>
              <w:bottom w:type="dxa" w:w="80"/>
              <w:right w:type="dxa" w:w="120"/>
            </w:tcMar>
            <w:vAlign w:val="center"/>
          </w:tcPr>
          <w:p>
            <w:pPr>
              <w:spacing w:after="60" w:before="60"/>
              <w:jc w:val="left"/>
            </w:pPr>
            <w:r>
              <w:rPr>
                <w:b w:val="false"/>
                <w:bCs w:val="false"/>
                <w:color w:val="333333"/>
                <w:sz w:val="18"/>
                <w:szCs w:val="18"/>
              </w:rPr>
              <w:t xml:space="preserve">Database</w:t>
            </w:r>
          </w:p>
        </w:tc>
        <w:tc>
          <w:tcPr>
            <w:tcW w:type="dxa" w:w="2400"/>
            <w:tcBorders>
              <w:top w:val="single" w:color="AACCDD" w:sz="4"/>
              <w:left w:val="single" w:color="AACCDD" w:sz="4"/>
              <w:bottom w:val="single" w:color="AACCDD" w:sz="4"/>
              <w:right w:val="single" w:color="AACCDD" w:sz="4"/>
            </w:tcBorders>
            <w:shd w:fill="FFFFFF" w:val="clear"/>
            <w:tcMar>
              <w:top w:type="dxa" w:w="80"/>
              <w:left w:type="dxa" w:w="120"/>
              <w:bottom w:type="dxa" w:w="80"/>
              <w:right w:type="dxa" w:w="120"/>
            </w:tcMar>
            <w:vAlign w:val="center"/>
          </w:tcPr>
          <w:p>
            <w:pPr>
              <w:spacing w:after="60" w:before="60"/>
              <w:jc w:val="left"/>
            </w:pPr>
            <w:r>
              <w:rPr>
                <w:b w:val="false"/>
                <w:bCs w:val="false"/>
                <w:color w:val="333333"/>
                <w:sz w:val="18"/>
                <w:szCs w:val="18"/>
              </w:rPr>
              <w:t xml:space="preserve">Supabase (paid)</w:t>
            </w:r>
          </w:p>
        </w:tc>
        <w:tc>
          <w:tcPr>
            <w:tcW w:type="dxa" w:w="3000"/>
            <w:tcBorders>
              <w:top w:val="single" w:color="AACCDD" w:sz="4"/>
              <w:left w:val="single" w:color="AACCDD" w:sz="4"/>
              <w:bottom w:val="single" w:color="AACCDD" w:sz="4"/>
              <w:right w:val="single" w:color="AACCDD" w:sz="4"/>
            </w:tcBorders>
            <w:shd w:fill="FFFFFF" w:val="clear"/>
            <w:tcMar>
              <w:top w:type="dxa" w:w="80"/>
              <w:left w:type="dxa" w:w="120"/>
              <w:bottom w:type="dxa" w:w="80"/>
              <w:right w:type="dxa" w:w="120"/>
            </w:tcMar>
            <w:vAlign w:val="center"/>
          </w:tcPr>
          <w:p>
            <w:pPr>
              <w:spacing w:after="60" w:before="60"/>
              <w:jc w:val="left"/>
            </w:pPr>
            <w:r>
              <w:rPr>
                <w:b w:val="false"/>
                <w:bCs w:val="false"/>
                <w:color w:val="333333"/>
                <w:sz w:val="18"/>
                <w:szCs w:val="18"/>
              </w:rPr>
              <w:t xml:space="preserve">Positions, signals, users</w:t>
            </w:r>
          </w:p>
        </w:tc>
        <w:tc>
          <w:tcPr>
            <w:tcW w:type="dxa" w:w="2680"/>
            <w:tcBorders>
              <w:top w:val="single" w:color="AACCDD" w:sz="4"/>
              <w:left w:val="single" w:color="AACCDD" w:sz="4"/>
              <w:bottom w:val="single" w:color="AACCDD" w:sz="4"/>
              <w:right w:val="single" w:color="AACCDD" w:sz="4"/>
            </w:tcBorders>
            <w:shd w:fill="FFFFFF" w:val="clear"/>
            <w:tcMar>
              <w:top w:type="dxa" w:w="80"/>
              <w:left w:type="dxa" w:w="120"/>
              <w:bottom w:type="dxa" w:w="80"/>
              <w:right w:type="dxa" w:w="120"/>
            </w:tcMar>
            <w:vAlign w:val="center"/>
          </w:tcPr>
          <w:p>
            <w:pPr>
              <w:spacing w:after="60" w:before="60"/>
              <w:jc w:val="left"/>
            </w:pPr>
            <w:r>
              <w:rPr>
                <w:b w:val="false"/>
                <w:bCs w:val="false"/>
                <w:color w:val="333333"/>
                <w:sz w:val="18"/>
                <w:szCs w:val="18"/>
              </w:rPr>
              <w:t xml:space="preserve">Live</w:t>
            </w:r>
          </w:p>
        </w:tc>
      </w:tr>
      <w:tr>
        <w:tc>
          <w:tcPr>
            <w:tcW w:type="dxa" w:w="2000"/>
            <w:tcBorders>
              <w:top w:val="single" w:color="AACCDD" w:sz="4"/>
              <w:left w:val="single" w:color="AACCDD" w:sz="4"/>
              <w:bottom w:val="single" w:color="AACCDD" w:sz="4"/>
              <w:right w:val="single" w:color="AACCDD" w:sz="4"/>
            </w:tcBorders>
            <w:shd w:fill="EEF5F9" w:val="clear"/>
            <w:tcMar>
              <w:top w:type="dxa" w:w="80"/>
              <w:left w:type="dxa" w:w="120"/>
              <w:bottom w:type="dxa" w:w="80"/>
              <w:right w:type="dxa" w:w="120"/>
            </w:tcMar>
            <w:vAlign w:val="center"/>
          </w:tcPr>
          <w:p>
            <w:pPr>
              <w:spacing w:after="60" w:before="60"/>
              <w:jc w:val="left"/>
            </w:pPr>
            <w:r>
              <w:rPr>
                <w:b w:val="false"/>
                <w:bCs w:val="false"/>
                <w:color w:val="333333"/>
                <w:sz w:val="18"/>
                <w:szCs w:val="18"/>
              </w:rPr>
              <w:t xml:space="preserve">Market Data</w:t>
            </w:r>
          </w:p>
        </w:tc>
        <w:tc>
          <w:tcPr>
            <w:tcW w:type="dxa" w:w="2400"/>
            <w:tcBorders>
              <w:top w:val="single" w:color="AACCDD" w:sz="4"/>
              <w:left w:val="single" w:color="AACCDD" w:sz="4"/>
              <w:bottom w:val="single" w:color="AACCDD" w:sz="4"/>
              <w:right w:val="single" w:color="AACCDD" w:sz="4"/>
            </w:tcBorders>
            <w:shd w:fill="EEF5F9" w:val="clear"/>
            <w:tcMar>
              <w:top w:type="dxa" w:w="80"/>
              <w:left w:type="dxa" w:w="120"/>
              <w:bottom w:type="dxa" w:w="80"/>
              <w:right w:type="dxa" w:w="120"/>
            </w:tcMar>
            <w:vAlign w:val="center"/>
          </w:tcPr>
          <w:p>
            <w:pPr>
              <w:spacing w:after="60" w:before="60"/>
              <w:jc w:val="left"/>
            </w:pPr>
            <w:r>
              <w:rPr>
                <w:b w:val="false"/>
                <w:bCs w:val="false"/>
                <w:color w:val="333333"/>
                <w:sz w:val="18"/>
                <w:szCs w:val="18"/>
              </w:rPr>
              <w:t xml:space="preserve">Alpha Vantage ($49/mo)</w:t>
            </w:r>
          </w:p>
        </w:tc>
        <w:tc>
          <w:tcPr>
            <w:tcW w:type="dxa" w:w="3000"/>
            <w:tcBorders>
              <w:top w:val="single" w:color="AACCDD" w:sz="4"/>
              <w:left w:val="single" w:color="AACCDD" w:sz="4"/>
              <w:bottom w:val="single" w:color="AACCDD" w:sz="4"/>
              <w:right w:val="single" w:color="AACCDD" w:sz="4"/>
            </w:tcBorders>
            <w:shd w:fill="EEF5F9" w:val="clear"/>
            <w:tcMar>
              <w:top w:type="dxa" w:w="80"/>
              <w:left w:type="dxa" w:w="120"/>
              <w:bottom w:type="dxa" w:w="80"/>
              <w:right w:type="dxa" w:w="120"/>
            </w:tcMar>
            <w:vAlign w:val="center"/>
          </w:tcPr>
          <w:p>
            <w:pPr>
              <w:spacing w:after="60" w:before="60"/>
              <w:jc w:val="left"/>
            </w:pPr>
            <w:r>
              <w:rPr>
                <w:b w:val="false"/>
                <w:bCs w:val="false"/>
                <w:color w:val="333333"/>
                <w:sz w:val="18"/>
                <w:szCs w:val="18"/>
              </w:rPr>
              <w:t xml:space="preserve">OHLCV, fundamentals, news</w:t>
            </w:r>
          </w:p>
        </w:tc>
        <w:tc>
          <w:tcPr>
            <w:tcW w:type="dxa" w:w="2680"/>
            <w:tcBorders>
              <w:top w:val="single" w:color="AACCDD" w:sz="4"/>
              <w:left w:val="single" w:color="AACCDD" w:sz="4"/>
              <w:bottom w:val="single" w:color="AACCDD" w:sz="4"/>
              <w:right w:val="single" w:color="AACCDD" w:sz="4"/>
            </w:tcBorders>
            <w:shd w:fill="EEF5F9" w:val="clear"/>
            <w:tcMar>
              <w:top w:type="dxa" w:w="80"/>
              <w:left w:type="dxa" w:w="120"/>
              <w:bottom w:type="dxa" w:w="80"/>
              <w:right w:type="dxa" w:w="120"/>
            </w:tcMar>
            <w:vAlign w:val="center"/>
          </w:tcPr>
          <w:p>
            <w:pPr>
              <w:spacing w:after="60" w:before="60"/>
              <w:jc w:val="left"/>
            </w:pPr>
            <w:r>
              <w:rPr>
                <w:b w:val="false"/>
                <w:bCs w:val="false"/>
                <w:color w:val="333333"/>
                <w:sz w:val="18"/>
                <w:szCs w:val="18"/>
              </w:rPr>
              <w:t xml:space="preserve">Live</w:t>
            </w:r>
          </w:p>
        </w:tc>
      </w:tr>
      <w:tr>
        <w:tc>
          <w:tcPr>
            <w:tcW w:type="dxa" w:w="2000"/>
            <w:tcBorders>
              <w:top w:val="single" w:color="AACCDD" w:sz="4"/>
              <w:left w:val="single" w:color="AACCDD" w:sz="4"/>
              <w:bottom w:val="single" w:color="AACCDD" w:sz="4"/>
              <w:right w:val="single" w:color="AACCDD" w:sz="4"/>
            </w:tcBorders>
            <w:shd w:fill="FFFFFF" w:val="clear"/>
            <w:tcMar>
              <w:top w:type="dxa" w:w="80"/>
              <w:left w:type="dxa" w:w="120"/>
              <w:bottom w:type="dxa" w:w="80"/>
              <w:right w:type="dxa" w:w="120"/>
            </w:tcMar>
            <w:vAlign w:val="center"/>
          </w:tcPr>
          <w:p>
            <w:pPr>
              <w:spacing w:after="60" w:before="60"/>
              <w:jc w:val="left"/>
            </w:pPr>
            <w:r>
              <w:rPr>
                <w:b w:val="false"/>
                <w:bCs w:val="false"/>
                <w:color w:val="333333"/>
                <w:sz w:val="18"/>
                <w:szCs w:val="18"/>
              </w:rPr>
              <w:t xml:space="preserve">Paper Trading</w:t>
            </w:r>
          </w:p>
        </w:tc>
        <w:tc>
          <w:tcPr>
            <w:tcW w:type="dxa" w:w="2400"/>
            <w:tcBorders>
              <w:top w:val="single" w:color="AACCDD" w:sz="4"/>
              <w:left w:val="single" w:color="AACCDD" w:sz="4"/>
              <w:bottom w:val="single" w:color="AACCDD" w:sz="4"/>
              <w:right w:val="single" w:color="AACCDD" w:sz="4"/>
            </w:tcBorders>
            <w:shd w:fill="FFFFFF" w:val="clear"/>
            <w:tcMar>
              <w:top w:type="dxa" w:w="80"/>
              <w:left w:type="dxa" w:w="120"/>
              <w:bottom w:type="dxa" w:w="80"/>
              <w:right w:type="dxa" w:w="120"/>
            </w:tcMar>
            <w:vAlign w:val="center"/>
          </w:tcPr>
          <w:p>
            <w:pPr>
              <w:spacing w:after="60" w:before="60"/>
              <w:jc w:val="left"/>
            </w:pPr>
            <w:r>
              <w:rPr>
                <w:b w:val="false"/>
                <w:bCs w:val="false"/>
                <w:color w:val="333333"/>
                <w:sz w:val="18"/>
                <w:szCs w:val="18"/>
              </w:rPr>
              <w:t xml:space="preserve">Tiger Brokers API</w:t>
            </w:r>
          </w:p>
        </w:tc>
        <w:tc>
          <w:tcPr>
            <w:tcW w:type="dxa" w:w="3000"/>
            <w:tcBorders>
              <w:top w:val="single" w:color="AACCDD" w:sz="4"/>
              <w:left w:val="single" w:color="AACCDD" w:sz="4"/>
              <w:bottom w:val="single" w:color="AACCDD" w:sz="4"/>
              <w:right w:val="single" w:color="AACCDD" w:sz="4"/>
            </w:tcBorders>
            <w:shd w:fill="FFFFFF" w:val="clear"/>
            <w:tcMar>
              <w:top w:type="dxa" w:w="80"/>
              <w:left w:type="dxa" w:w="120"/>
              <w:bottom w:type="dxa" w:w="80"/>
              <w:right w:type="dxa" w:w="120"/>
            </w:tcMar>
            <w:vAlign w:val="center"/>
          </w:tcPr>
          <w:p>
            <w:pPr>
              <w:spacing w:after="60" w:before="60"/>
              <w:jc w:val="left"/>
            </w:pPr>
            <w:r>
              <w:rPr>
                <w:b w:val="false"/>
                <w:bCs w:val="false"/>
                <w:color w:val="333333"/>
                <w:sz w:val="18"/>
                <w:szCs w:val="18"/>
              </w:rPr>
              <w:t xml:space="preserve">Automated order execution</w:t>
            </w:r>
          </w:p>
        </w:tc>
        <w:tc>
          <w:tcPr>
            <w:tcW w:type="dxa" w:w="2680"/>
            <w:tcBorders>
              <w:top w:val="single" w:color="AACCDD" w:sz="4"/>
              <w:left w:val="single" w:color="AACCDD" w:sz="4"/>
              <w:bottom w:val="single" w:color="AACCDD" w:sz="4"/>
              <w:right w:val="single" w:color="AACCDD" w:sz="4"/>
            </w:tcBorders>
            <w:shd w:fill="FFFFFF" w:val="clear"/>
            <w:tcMar>
              <w:top w:type="dxa" w:w="80"/>
              <w:left w:type="dxa" w:w="120"/>
              <w:bottom w:type="dxa" w:w="80"/>
              <w:right w:type="dxa" w:w="120"/>
            </w:tcMar>
            <w:vAlign w:val="center"/>
          </w:tcPr>
          <w:p>
            <w:pPr>
              <w:spacing w:after="60" w:before="60"/>
              <w:jc w:val="left"/>
            </w:pPr>
            <w:r>
              <w:rPr>
                <w:b w:val="false"/>
                <w:bCs w:val="false"/>
                <w:color w:val="333333"/>
                <w:sz w:val="18"/>
                <w:szCs w:val="18"/>
              </w:rPr>
              <w:t xml:space="preserve">Live — paper</w:t>
            </w:r>
          </w:p>
        </w:tc>
      </w:tr>
      <w:tr>
        <w:tc>
          <w:tcPr>
            <w:tcW w:type="dxa" w:w="2000"/>
            <w:tcBorders>
              <w:top w:val="single" w:color="AACCDD" w:sz="4"/>
              <w:left w:val="single" w:color="AACCDD" w:sz="4"/>
              <w:bottom w:val="single" w:color="AACCDD" w:sz="4"/>
              <w:right w:val="single" w:color="AACCDD" w:sz="4"/>
            </w:tcBorders>
            <w:shd w:fill="EEF5F9" w:val="clear"/>
            <w:tcMar>
              <w:top w:type="dxa" w:w="80"/>
              <w:left w:type="dxa" w:w="120"/>
              <w:bottom w:type="dxa" w:w="80"/>
              <w:right w:type="dxa" w:w="120"/>
            </w:tcMar>
            <w:vAlign w:val="center"/>
          </w:tcPr>
          <w:p>
            <w:pPr>
              <w:spacing w:after="60" w:before="60"/>
              <w:jc w:val="left"/>
            </w:pPr>
            <w:r>
              <w:rPr>
                <w:b w:val="false"/>
                <w:bCs w:val="false"/>
                <w:color w:val="333333"/>
                <w:sz w:val="18"/>
                <w:szCs w:val="18"/>
              </w:rPr>
              <w:t xml:space="preserve">Website</w:t>
            </w:r>
          </w:p>
        </w:tc>
        <w:tc>
          <w:tcPr>
            <w:tcW w:type="dxa" w:w="2400"/>
            <w:tcBorders>
              <w:top w:val="single" w:color="AACCDD" w:sz="4"/>
              <w:left w:val="single" w:color="AACCDD" w:sz="4"/>
              <w:bottom w:val="single" w:color="AACCDD" w:sz="4"/>
              <w:right w:val="single" w:color="AACCDD" w:sz="4"/>
            </w:tcBorders>
            <w:shd w:fill="EEF5F9" w:val="clear"/>
            <w:tcMar>
              <w:top w:type="dxa" w:w="80"/>
              <w:left w:type="dxa" w:w="120"/>
              <w:bottom w:type="dxa" w:w="80"/>
              <w:right w:type="dxa" w:w="120"/>
            </w:tcMar>
            <w:vAlign w:val="center"/>
          </w:tcPr>
          <w:p>
            <w:pPr>
              <w:spacing w:after="60" w:before="60"/>
              <w:jc w:val="left"/>
            </w:pPr>
            <w:r>
              <w:rPr>
                <w:b w:val="false"/>
                <w:bCs w:val="false"/>
                <w:color w:val="333333"/>
                <w:sz w:val="18"/>
                <w:szCs w:val="18"/>
              </w:rPr>
              <w:t xml:space="preserve">stockqueen.tech</w:t>
            </w:r>
          </w:p>
        </w:tc>
        <w:tc>
          <w:tcPr>
            <w:tcW w:type="dxa" w:w="3000"/>
            <w:tcBorders>
              <w:top w:val="single" w:color="AACCDD" w:sz="4"/>
              <w:left w:val="single" w:color="AACCDD" w:sz="4"/>
              <w:bottom w:val="single" w:color="AACCDD" w:sz="4"/>
              <w:right w:val="single" w:color="AACCDD" w:sz="4"/>
            </w:tcBorders>
            <w:shd w:fill="EEF5F9" w:val="clear"/>
            <w:tcMar>
              <w:top w:type="dxa" w:w="80"/>
              <w:left w:type="dxa" w:w="120"/>
              <w:bottom w:type="dxa" w:w="80"/>
              <w:right w:type="dxa" w:w="120"/>
            </w:tcMar>
            <w:vAlign w:val="center"/>
          </w:tcPr>
          <w:p>
            <w:pPr>
              <w:spacing w:after="60" w:before="60"/>
              <w:jc w:val="left"/>
            </w:pPr>
            <w:r>
              <w:rPr>
                <w:b w:val="false"/>
                <w:bCs w:val="false"/>
                <w:color w:val="333333"/>
                <w:sz w:val="18"/>
                <w:szCs w:val="18"/>
              </w:rPr>
              <w:t xml:space="preserve">Public platform</w:t>
            </w:r>
          </w:p>
        </w:tc>
        <w:tc>
          <w:tcPr>
            <w:tcW w:type="dxa" w:w="2680"/>
            <w:tcBorders>
              <w:top w:val="single" w:color="AACCDD" w:sz="4"/>
              <w:left w:val="single" w:color="AACCDD" w:sz="4"/>
              <w:bottom w:val="single" w:color="AACCDD" w:sz="4"/>
              <w:right w:val="single" w:color="AACCDD" w:sz="4"/>
            </w:tcBorders>
            <w:shd w:fill="EEF5F9" w:val="clear"/>
            <w:tcMar>
              <w:top w:type="dxa" w:w="80"/>
              <w:left w:type="dxa" w:w="120"/>
              <w:bottom w:type="dxa" w:w="80"/>
              <w:right w:type="dxa" w:w="120"/>
            </w:tcMar>
            <w:vAlign w:val="center"/>
          </w:tcPr>
          <w:p>
            <w:pPr>
              <w:spacing w:after="60" w:before="60"/>
              <w:jc w:val="left"/>
            </w:pPr>
            <w:r>
              <w:rPr>
                <w:b w:val="false"/>
                <w:bCs w:val="false"/>
                <w:color w:val="333333"/>
                <w:sz w:val="18"/>
                <w:szCs w:val="18"/>
              </w:rPr>
              <w:t xml:space="preserve">Live</w:t>
            </w:r>
          </w:p>
        </w:tc>
      </w:tr>
      <w:tr>
        <w:tc>
          <w:tcPr>
            <w:tcW w:type="dxa" w:w="2000"/>
            <w:tcBorders>
              <w:top w:val="single" w:color="AACCDD" w:sz="4"/>
              <w:left w:val="single" w:color="AACCDD" w:sz="4"/>
              <w:bottom w:val="single" w:color="AACCDD" w:sz="4"/>
              <w:right w:val="single" w:color="AACCDD" w:sz="4"/>
            </w:tcBorders>
            <w:shd w:fill="FFFFFF" w:val="clear"/>
            <w:tcMar>
              <w:top w:type="dxa" w:w="80"/>
              <w:left w:type="dxa" w:w="120"/>
              <w:bottom w:type="dxa" w:w="80"/>
              <w:right w:type="dxa" w:w="120"/>
            </w:tcMar>
            <w:vAlign w:val="center"/>
          </w:tcPr>
          <w:p>
            <w:pPr>
              <w:spacing w:after="60" w:before="60"/>
              <w:jc w:val="left"/>
            </w:pPr>
            <w:r>
              <w:rPr>
                <w:b w:val="false"/>
                <w:bCs w:val="false"/>
                <w:color w:val="333333"/>
                <w:sz w:val="18"/>
                <w:szCs w:val="18"/>
              </w:rPr>
              <w:t xml:space="preserve">Email Delivery</w:t>
            </w:r>
          </w:p>
        </w:tc>
        <w:tc>
          <w:tcPr>
            <w:tcW w:type="dxa" w:w="2400"/>
            <w:tcBorders>
              <w:top w:val="single" w:color="AACCDD" w:sz="4"/>
              <w:left w:val="single" w:color="AACCDD" w:sz="4"/>
              <w:bottom w:val="single" w:color="AACCDD" w:sz="4"/>
              <w:right w:val="single" w:color="AACCDD" w:sz="4"/>
            </w:tcBorders>
            <w:shd w:fill="FFFFFF" w:val="clear"/>
            <w:tcMar>
              <w:top w:type="dxa" w:w="80"/>
              <w:left w:type="dxa" w:w="120"/>
              <w:bottom w:type="dxa" w:w="80"/>
              <w:right w:type="dxa" w:w="120"/>
            </w:tcMar>
            <w:vAlign w:val="center"/>
          </w:tcPr>
          <w:p>
            <w:pPr>
              <w:spacing w:after="60" w:before="60"/>
              <w:jc w:val="left"/>
            </w:pPr>
            <w:r>
              <w:rPr>
                <w:b w:val="false"/>
                <w:bCs w:val="false"/>
                <w:color w:val="333333"/>
                <w:sz w:val="18"/>
                <w:szCs w:val="18"/>
              </w:rPr>
              <w:t xml:space="preserve">Resend API</w:t>
            </w:r>
          </w:p>
        </w:tc>
        <w:tc>
          <w:tcPr>
            <w:tcW w:type="dxa" w:w="3000"/>
            <w:tcBorders>
              <w:top w:val="single" w:color="AACCDD" w:sz="4"/>
              <w:left w:val="single" w:color="AACCDD" w:sz="4"/>
              <w:bottom w:val="single" w:color="AACCDD" w:sz="4"/>
              <w:right w:val="single" w:color="AACCDD" w:sz="4"/>
            </w:tcBorders>
            <w:shd w:fill="FFFFFF" w:val="clear"/>
            <w:tcMar>
              <w:top w:type="dxa" w:w="80"/>
              <w:left w:type="dxa" w:w="120"/>
              <w:bottom w:type="dxa" w:w="80"/>
              <w:right w:type="dxa" w:w="120"/>
            </w:tcMar>
            <w:vAlign w:val="center"/>
          </w:tcPr>
          <w:p>
            <w:pPr>
              <w:spacing w:after="60" w:before="60"/>
              <w:jc w:val="left"/>
            </w:pPr>
            <w:r>
              <w:rPr>
                <w:b w:val="false"/>
                <w:bCs w:val="false"/>
                <w:color w:val="333333"/>
                <w:sz w:val="18"/>
                <w:szCs w:val="18"/>
              </w:rPr>
              <w:t xml:space="preserve">Newsletter delivery</w:t>
            </w:r>
          </w:p>
        </w:tc>
        <w:tc>
          <w:tcPr>
            <w:tcW w:type="dxa" w:w="2680"/>
            <w:tcBorders>
              <w:top w:val="single" w:color="AACCDD" w:sz="4"/>
              <w:left w:val="single" w:color="AACCDD" w:sz="4"/>
              <w:bottom w:val="single" w:color="AACCDD" w:sz="4"/>
              <w:right w:val="single" w:color="AACCDD" w:sz="4"/>
            </w:tcBorders>
            <w:shd w:fill="FFFFFF" w:val="clear"/>
            <w:tcMar>
              <w:top w:type="dxa" w:w="80"/>
              <w:left w:type="dxa" w:w="120"/>
              <w:bottom w:type="dxa" w:w="80"/>
              <w:right w:type="dxa" w:w="120"/>
            </w:tcMar>
            <w:vAlign w:val="center"/>
          </w:tcPr>
          <w:p>
            <w:pPr>
              <w:spacing w:after="60" w:before="60"/>
              <w:jc w:val="left"/>
            </w:pPr>
            <w:r>
              <w:rPr>
                <w:b w:val="false"/>
                <w:bCs w:val="false"/>
                <w:color w:val="333333"/>
                <w:sz w:val="18"/>
                <w:szCs w:val="18"/>
              </w:rPr>
              <w:t xml:space="preserve">Live</w:t>
            </w:r>
          </w:p>
        </w:tc>
      </w:tr>
    </w:tbl>
    <w:p>
      <w:pPr>
        <w:spacing w:after="120" w:before="0"/>
      </w:pPr>
    </w:p>
    <w:p>
      <w:pPr>
        <w:pStyle w:val="Heading2"/>
        <w:pBdr>
          <w:bottom w:val="single" w:color="2C4A8C" w:sz="6"/>
        </w:pBdr>
        <w:spacing w:after="100" w:before="200"/>
      </w:pPr>
      <w:r>
        <w:rPr>
          <w:b/>
          <w:bCs/>
          <w:color w:val="1a2744"/>
          <w:sz w:val="24"/>
          <w:szCs w:val="24"/>
        </w:rPr>
        <w:t xml:space="preserve">8.2  Automated Job Schedule (21 Jobs)</w:t>
      </w:r>
    </w:p>
    <w:p>
      <w:pPr>
        <w:spacing w:after="60" w:before="60"/>
        <w:jc w:val="left"/>
      </w:pPr>
      <w:r>
        <w:rPr>
          <w:b w:val="false"/>
          <w:bCs w:val="false"/>
          <w:i w:val="false"/>
          <w:iCs w:val="false"/>
          <w:color w:val="333333"/>
          <w:sz w:val="20"/>
          <w:szCs w:val="20"/>
        </w:rPr>
        <w:t xml:space="preserve">Key automated jobs running daily (New Zealand Time):</w:t>
      </w:r>
    </w:p>
    <w:p>
      <w:pPr>
        <w:spacing w:after="60" w:before="0"/>
      </w:pPr>
    </w:p>
    <w:tbl>
      <w:tblPr>
        <w:tblW w:type="dxa" w:w="10080"/>
        <w:tblBorders>
          <w:top w:val="single" w:color="AACCDD" w:sz="4"/>
          <w:left w:val="single" w:color="AACCDD" w:sz="4"/>
          <w:bottom w:val="single" w:color="AACCDD" w:sz="4"/>
          <w:right w:val="single" w:color="AACCDD" w:sz="4"/>
          <w:insideH w:val="single" w:color="auto" w:sz="4"/>
          <w:insideV w:val="single" w:color="auto" w:sz="4"/>
        </w:tblBorders>
      </w:tblPr>
      <w:tblGrid>
        <w:gridCol w:w="2800"/>
        <w:gridCol w:w="1400"/>
        <w:gridCol w:w="2200"/>
        <w:gridCol w:w="3680"/>
      </w:tblGrid>
      <w:tr>
        <w:trPr>
          <w:tblHeader/>
        </w:trPr>
        <w:tc>
          <w:tcPr>
            <w:tcW w:type="dxa" w:w="2800"/>
            <w:tcBorders>
              <w:top w:val="single" w:color="AACCDD" w:sz="4"/>
              <w:left w:val="single" w:color="AACCDD" w:sz="4"/>
              <w:bottom w:val="single" w:color="AACCDD" w:sz="4"/>
              <w:right w:val="single" w:color="AACCDD" w:sz="4"/>
            </w:tcBorders>
            <w:shd w:fill="D5E8F0" w:val="clear"/>
            <w:tcMar>
              <w:top w:type="dxa" w:w="80"/>
              <w:left w:type="dxa" w:w="120"/>
              <w:bottom w:type="dxa" w:w="80"/>
              <w:right w:type="dxa" w:w="120"/>
            </w:tcMar>
            <w:vAlign w:val="center"/>
          </w:tcPr>
          <w:p>
            <w:pPr>
              <w:spacing w:after="60" w:before="60"/>
              <w:jc w:val="left"/>
            </w:pPr>
            <w:r>
              <w:rPr>
                <w:b/>
                <w:bCs/>
                <w:color w:val="1a2744"/>
                <w:sz w:val="18"/>
                <w:szCs w:val="18"/>
              </w:rPr>
              <w:t xml:space="preserve">Job</w:t>
            </w:r>
          </w:p>
        </w:tc>
        <w:tc>
          <w:tcPr>
            <w:tcW w:type="dxa" w:w="1400"/>
            <w:tcBorders>
              <w:top w:val="single" w:color="AACCDD" w:sz="4"/>
              <w:left w:val="single" w:color="AACCDD" w:sz="4"/>
              <w:bottom w:val="single" w:color="AACCDD" w:sz="4"/>
              <w:right w:val="single" w:color="AACCDD" w:sz="4"/>
            </w:tcBorders>
            <w:shd w:fill="D5E8F0" w:val="clear"/>
            <w:tcMar>
              <w:top w:type="dxa" w:w="80"/>
              <w:left w:type="dxa" w:w="120"/>
              <w:bottom w:type="dxa" w:w="80"/>
              <w:right w:type="dxa" w:w="120"/>
            </w:tcMar>
            <w:vAlign w:val="center"/>
          </w:tcPr>
          <w:p>
            <w:pPr>
              <w:spacing w:after="60" w:before="60"/>
              <w:jc w:val="left"/>
            </w:pPr>
            <w:r>
              <w:rPr>
                <w:b/>
                <w:bCs/>
                <w:color w:val="1a2744"/>
                <w:sz w:val="18"/>
                <w:szCs w:val="18"/>
              </w:rPr>
              <w:t xml:space="preserve">Time (NZT)</w:t>
            </w:r>
          </w:p>
        </w:tc>
        <w:tc>
          <w:tcPr>
            <w:tcW w:type="dxa" w:w="2200"/>
            <w:tcBorders>
              <w:top w:val="single" w:color="AACCDD" w:sz="4"/>
              <w:left w:val="single" w:color="AACCDD" w:sz="4"/>
              <w:bottom w:val="single" w:color="AACCDD" w:sz="4"/>
              <w:right w:val="single" w:color="AACCDD" w:sz="4"/>
            </w:tcBorders>
            <w:shd w:fill="D5E8F0" w:val="clear"/>
            <w:tcMar>
              <w:top w:type="dxa" w:w="80"/>
              <w:left w:type="dxa" w:w="120"/>
              <w:bottom w:type="dxa" w:w="80"/>
              <w:right w:type="dxa" w:w="120"/>
            </w:tcMar>
            <w:vAlign w:val="center"/>
          </w:tcPr>
          <w:p>
            <w:pPr>
              <w:spacing w:after="60" w:before="60"/>
              <w:jc w:val="left"/>
            </w:pPr>
            <w:r>
              <w:rPr>
                <w:b/>
                <w:bCs/>
                <w:color w:val="1a2744"/>
                <w:sz w:val="18"/>
                <w:szCs w:val="18"/>
              </w:rPr>
              <w:t xml:space="preserve">Frequency</w:t>
            </w:r>
          </w:p>
        </w:tc>
        <w:tc>
          <w:tcPr>
            <w:tcW w:type="dxa" w:w="3680"/>
            <w:tcBorders>
              <w:top w:val="single" w:color="AACCDD" w:sz="4"/>
              <w:left w:val="single" w:color="AACCDD" w:sz="4"/>
              <w:bottom w:val="single" w:color="AACCDD" w:sz="4"/>
              <w:right w:val="single" w:color="AACCDD" w:sz="4"/>
            </w:tcBorders>
            <w:shd w:fill="D5E8F0" w:val="clear"/>
            <w:tcMar>
              <w:top w:type="dxa" w:w="80"/>
              <w:left w:type="dxa" w:w="120"/>
              <w:bottom w:type="dxa" w:w="80"/>
              <w:right w:type="dxa" w:w="120"/>
            </w:tcMar>
            <w:vAlign w:val="center"/>
          </w:tcPr>
          <w:p>
            <w:pPr>
              <w:spacing w:after="60" w:before="60"/>
              <w:jc w:val="left"/>
            </w:pPr>
            <w:r>
              <w:rPr>
                <w:b/>
                <w:bCs/>
                <w:color w:val="1a2744"/>
                <w:sz w:val="18"/>
                <w:szCs w:val="18"/>
              </w:rPr>
              <w:t xml:space="preserve">Purpose</w:t>
            </w:r>
          </w:p>
        </w:tc>
      </w:tr>
      <w:tr>
        <w:tc>
          <w:tcPr>
            <w:tcW w:type="dxa" w:w="2800"/>
            <w:tcBorders>
              <w:top w:val="single" w:color="AACCDD" w:sz="4"/>
              <w:left w:val="single" w:color="AACCDD" w:sz="4"/>
              <w:bottom w:val="single" w:color="AACCDD" w:sz="4"/>
              <w:right w:val="single" w:color="AACCDD" w:sz="4"/>
            </w:tcBorders>
            <w:shd w:fill="FFFFFF" w:val="clear"/>
            <w:tcMar>
              <w:top w:type="dxa" w:w="80"/>
              <w:left w:type="dxa" w:w="120"/>
              <w:bottom w:type="dxa" w:w="80"/>
              <w:right w:type="dxa" w:w="120"/>
            </w:tcMar>
            <w:vAlign w:val="center"/>
          </w:tcPr>
          <w:p>
            <w:pPr>
              <w:spacing w:after="60" w:before="60"/>
              <w:jc w:val="left"/>
            </w:pPr>
            <w:r>
              <w:rPr>
                <w:b w:val="false"/>
                <w:bCs w:val="false"/>
                <w:color w:val="333333"/>
                <w:sz w:val="18"/>
                <w:szCs w:val="18"/>
              </w:rPr>
              <w:t xml:space="preserve">Market data fetch</w:t>
            </w:r>
          </w:p>
        </w:tc>
        <w:tc>
          <w:tcPr>
            <w:tcW w:type="dxa" w:w="1400"/>
            <w:tcBorders>
              <w:top w:val="single" w:color="AACCDD" w:sz="4"/>
              <w:left w:val="single" w:color="AACCDD" w:sz="4"/>
              <w:bottom w:val="single" w:color="AACCDD" w:sz="4"/>
              <w:right w:val="single" w:color="AACCDD" w:sz="4"/>
            </w:tcBorders>
            <w:shd w:fill="FFFFFF" w:val="clear"/>
            <w:tcMar>
              <w:top w:type="dxa" w:w="80"/>
              <w:left w:type="dxa" w:w="120"/>
              <w:bottom w:type="dxa" w:w="80"/>
              <w:right w:type="dxa" w:w="120"/>
            </w:tcMar>
            <w:vAlign w:val="center"/>
          </w:tcPr>
          <w:p>
            <w:pPr>
              <w:spacing w:after="60" w:before="60"/>
              <w:jc w:val="left"/>
            </w:pPr>
            <w:r>
              <w:rPr>
                <w:b w:val="false"/>
                <w:bCs w:val="false"/>
                <w:color w:val="333333"/>
                <w:sz w:val="18"/>
                <w:szCs w:val="18"/>
              </w:rPr>
              <w:t xml:space="preserve">09:15</w:t>
            </w:r>
          </w:p>
        </w:tc>
        <w:tc>
          <w:tcPr>
            <w:tcW w:type="dxa" w:w="2200"/>
            <w:tcBorders>
              <w:top w:val="single" w:color="AACCDD" w:sz="4"/>
              <w:left w:val="single" w:color="AACCDD" w:sz="4"/>
              <w:bottom w:val="single" w:color="AACCDD" w:sz="4"/>
              <w:right w:val="single" w:color="AACCDD" w:sz="4"/>
            </w:tcBorders>
            <w:shd w:fill="FFFFFF" w:val="clear"/>
            <w:tcMar>
              <w:top w:type="dxa" w:w="80"/>
              <w:left w:type="dxa" w:w="120"/>
              <w:bottom w:type="dxa" w:w="80"/>
              <w:right w:type="dxa" w:w="120"/>
            </w:tcMar>
            <w:vAlign w:val="center"/>
          </w:tcPr>
          <w:p>
            <w:pPr>
              <w:spacing w:after="60" w:before="60"/>
              <w:jc w:val="left"/>
            </w:pPr>
            <w:r>
              <w:rPr>
                <w:b w:val="false"/>
                <w:bCs w:val="false"/>
                <w:color w:val="333333"/>
                <w:sz w:val="18"/>
                <w:szCs w:val="18"/>
              </w:rPr>
              <w:t xml:space="preserve">Daily (Tue-Sat)</w:t>
            </w:r>
          </w:p>
        </w:tc>
        <w:tc>
          <w:tcPr>
            <w:tcW w:type="dxa" w:w="3680"/>
            <w:tcBorders>
              <w:top w:val="single" w:color="AACCDD" w:sz="4"/>
              <w:left w:val="single" w:color="AACCDD" w:sz="4"/>
              <w:bottom w:val="single" w:color="AACCDD" w:sz="4"/>
              <w:right w:val="single" w:color="AACCDD" w:sz="4"/>
            </w:tcBorders>
            <w:shd w:fill="FFFFFF" w:val="clear"/>
            <w:tcMar>
              <w:top w:type="dxa" w:w="80"/>
              <w:left w:type="dxa" w:w="120"/>
              <w:bottom w:type="dxa" w:w="80"/>
              <w:right w:type="dxa" w:w="120"/>
            </w:tcMar>
            <w:vAlign w:val="center"/>
          </w:tcPr>
          <w:p>
            <w:pPr>
              <w:spacing w:after="60" w:before="60"/>
              <w:jc w:val="left"/>
            </w:pPr>
            <w:r>
              <w:rPr>
                <w:b w:val="false"/>
                <w:bCs w:val="false"/>
                <w:color w:val="333333"/>
                <w:sz w:val="18"/>
                <w:szCs w:val="18"/>
              </w:rPr>
              <w:t xml:space="preserve">Update OHLCV data</w:t>
            </w:r>
          </w:p>
        </w:tc>
      </w:tr>
      <w:tr>
        <w:tc>
          <w:tcPr>
            <w:tcW w:type="dxa" w:w="2800"/>
            <w:tcBorders>
              <w:top w:val="single" w:color="AACCDD" w:sz="4"/>
              <w:left w:val="single" w:color="AACCDD" w:sz="4"/>
              <w:bottom w:val="single" w:color="AACCDD" w:sz="4"/>
              <w:right w:val="single" w:color="AACCDD" w:sz="4"/>
            </w:tcBorders>
            <w:shd w:fill="EEF5F9" w:val="clear"/>
            <w:tcMar>
              <w:top w:type="dxa" w:w="80"/>
              <w:left w:type="dxa" w:w="120"/>
              <w:bottom w:type="dxa" w:w="80"/>
              <w:right w:type="dxa" w:w="120"/>
            </w:tcMar>
            <w:vAlign w:val="center"/>
          </w:tcPr>
          <w:p>
            <w:pPr>
              <w:spacing w:after="60" w:before="60"/>
              <w:jc w:val="left"/>
            </w:pPr>
            <w:r>
              <w:rPr>
                <w:b w:val="false"/>
                <w:bCs w:val="false"/>
                <w:color w:val="333333"/>
                <w:sz w:val="18"/>
                <w:szCs w:val="18"/>
              </w:rPr>
              <w:t xml:space="preserve">Regime detection</w:t>
            </w:r>
          </w:p>
        </w:tc>
        <w:tc>
          <w:tcPr>
            <w:tcW w:type="dxa" w:w="1400"/>
            <w:tcBorders>
              <w:top w:val="single" w:color="AACCDD" w:sz="4"/>
              <w:left w:val="single" w:color="AACCDD" w:sz="4"/>
              <w:bottom w:val="single" w:color="AACCDD" w:sz="4"/>
              <w:right w:val="single" w:color="AACCDD" w:sz="4"/>
            </w:tcBorders>
            <w:shd w:fill="EEF5F9" w:val="clear"/>
            <w:tcMar>
              <w:top w:type="dxa" w:w="80"/>
              <w:left w:type="dxa" w:w="120"/>
              <w:bottom w:type="dxa" w:w="80"/>
              <w:right w:type="dxa" w:w="120"/>
            </w:tcMar>
            <w:vAlign w:val="center"/>
          </w:tcPr>
          <w:p>
            <w:pPr>
              <w:spacing w:after="60" w:before="60"/>
              <w:jc w:val="left"/>
            </w:pPr>
            <w:r>
              <w:rPr>
                <w:b w:val="false"/>
                <w:bCs w:val="false"/>
                <w:color w:val="333333"/>
                <w:sz w:val="18"/>
                <w:szCs w:val="18"/>
              </w:rPr>
              <w:t xml:space="preserve">09:20</w:t>
            </w:r>
          </w:p>
        </w:tc>
        <w:tc>
          <w:tcPr>
            <w:tcW w:type="dxa" w:w="2200"/>
            <w:tcBorders>
              <w:top w:val="single" w:color="AACCDD" w:sz="4"/>
              <w:left w:val="single" w:color="AACCDD" w:sz="4"/>
              <w:bottom w:val="single" w:color="AACCDD" w:sz="4"/>
              <w:right w:val="single" w:color="AACCDD" w:sz="4"/>
            </w:tcBorders>
            <w:shd w:fill="EEF5F9" w:val="clear"/>
            <w:tcMar>
              <w:top w:type="dxa" w:w="80"/>
              <w:left w:type="dxa" w:w="120"/>
              <w:bottom w:type="dxa" w:w="80"/>
              <w:right w:type="dxa" w:w="120"/>
            </w:tcMar>
            <w:vAlign w:val="center"/>
          </w:tcPr>
          <w:p>
            <w:pPr>
              <w:spacing w:after="60" w:before="60"/>
              <w:jc w:val="left"/>
            </w:pPr>
            <w:r>
              <w:rPr>
                <w:b w:val="false"/>
                <w:bCs w:val="false"/>
                <w:color w:val="333333"/>
                <w:sz w:val="18"/>
                <w:szCs w:val="18"/>
              </w:rPr>
              <w:t xml:space="preserve">Daily</w:t>
            </w:r>
          </w:p>
        </w:tc>
        <w:tc>
          <w:tcPr>
            <w:tcW w:type="dxa" w:w="3680"/>
            <w:tcBorders>
              <w:top w:val="single" w:color="AACCDD" w:sz="4"/>
              <w:left w:val="single" w:color="AACCDD" w:sz="4"/>
              <w:bottom w:val="single" w:color="AACCDD" w:sz="4"/>
              <w:right w:val="single" w:color="AACCDD" w:sz="4"/>
            </w:tcBorders>
            <w:shd w:fill="EEF5F9" w:val="clear"/>
            <w:tcMar>
              <w:top w:type="dxa" w:w="80"/>
              <w:left w:type="dxa" w:w="120"/>
              <w:bottom w:type="dxa" w:w="80"/>
              <w:right w:type="dxa" w:w="120"/>
            </w:tcMar>
            <w:vAlign w:val="center"/>
          </w:tcPr>
          <w:p>
            <w:pPr>
              <w:spacing w:after="60" w:before="60"/>
              <w:jc w:val="left"/>
            </w:pPr>
            <w:r>
              <w:rPr>
                <w:b w:val="false"/>
                <w:bCs w:val="false"/>
                <w:color w:val="333333"/>
                <w:sz w:val="18"/>
                <w:szCs w:val="18"/>
              </w:rPr>
              <w:t xml:space="preserve">Classify current market regime</w:t>
            </w:r>
          </w:p>
        </w:tc>
      </w:tr>
      <w:tr>
        <w:tc>
          <w:tcPr>
            <w:tcW w:type="dxa" w:w="2800"/>
            <w:tcBorders>
              <w:top w:val="single" w:color="AACCDD" w:sz="4"/>
              <w:left w:val="single" w:color="AACCDD" w:sz="4"/>
              <w:bottom w:val="single" w:color="AACCDD" w:sz="4"/>
              <w:right w:val="single" w:color="AACCDD" w:sz="4"/>
            </w:tcBorders>
            <w:shd w:fill="FFFFFF" w:val="clear"/>
            <w:tcMar>
              <w:top w:type="dxa" w:w="80"/>
              <w:left w:type="dxa" w:w="120"/>
              <w:bottom w:type="dxa" w:w="80"/>
              <w:right w:type="dxa" w:w="120"/>
            </w:tcMar>
            <w:vAlign w:val="center"/>
          </w:tcPr>
          <w:p>
            <w:pPr>
              <w:spacing w:after="60" w:before="60"/>
              <w:jc w:val="left"/>
            </w:pPr>
            <w:r>
              <w:rPr>
                <w:b w:val="false"/>
                <w:bCs w:val="false"/>
                <w:color w:val="333333"/>
                <w:sz w:val="18"/>
                <w:szCs w:val="18"/>
              </w:rPr>
              <w:t xml:space="preserve">Daily entry check</w:t>
            </w:r>
          </w:p>
        </w:tc>
        <w:tc>
          <w:tcPr>
            <w:tcW w:type="dxa" w:w="1400"/>
            <w:tcBorders>
              <w:top w:val="single" w:color="AACCDD" w:sz="4"/>
              <w:left w:val="single" w:color="AACCDD" w:sz="4"/>
              <w:bottom w:val="single" w:color="AACCDD" w:sz="4"/>
              <w:right w:val="single" w:color="AACCDD" w:sz="4"/>
            </w:tcBorders>
            <w:shd w:fill="FFFFFF" w:val="clear"/>
            <w:tcMar>
              <w:top w:type="dxa" w:w="80"/>
              <w:left w:type="dxa" w:w="120"/>
              <w:bottom w:type="dxa" w:w="80"/>
              <w:right w:type="dxa" w:w="120"/>
            </w:tcMar>
            <w:vAlign w:val="center"/>
          </w:tcPr>
          <w:p>
            <w:pPr>
              <w:spacing w:after="60" w:before="60"/>
              <w:jc w:val="left"/>
            </w:pPr>
            <w:r>
              <w:rPr>
                <w:b w:val="false"/>
                <w:bCs w:val="false"/>
                <w:color w:val="333333"/>
                <w:sz w:val="18"/>
                <w:szCs w:val="18"/>
              </w:rPr>
              <w:t xml:space="preserve">09:40</w:t>
            </w:r>
          </w:p>
        </w:tc>
        <w:tc>
          <w:tcPr>
            <w:tcW w:type="dxa" w:w="2200"/>
            <w:tcBorders>
              <w:top w:val="single" w:color="AACCDD" w:sz="4"/>
              <w:left w:val="single" w:color="AACCDD" w:sz="4"/>
              <w:bottom w:val="single" w:color="AACCDD" w:sz="4"/>
              <w:right w:val="single" w:color="AACCDD" w:sz="4"/>
            </w:tcBorders>
            <w:shd w:fill="FFFFFF" w:val="clear"/>
            <w:tcMar>
              <w:top w:type="dxa" w:w="80"/>
              <w:left w:type="dxa" w:w="120"/>
              <w:bottom w:type="dxa" w:w="80"/>
              <w:right w:type="dxa" w:w="120"/>
            </w:tcMar>
            <w:vAlign w:val="center"/>
          </w:tcPr>
          <w:p>
            <w:pPr>
              <w:spacing w:after="60" w:before="60"/>
              <w:jc w:val="left"/>
            </w:pPr>
            <w:r>
              <w:rPr>
                <w:b w:val="false"/>
                <w:bCs w:val="false"/>
                <w:color w:val="333333"/>
                <w:sz w:val="18"/>
                <w:szCs w:val="18"/>
              </w:rPr>
              <w:t xml:space="preserve">Daily</w:t>
            </w:r>
          </w:p>
        </w:tc>
        <w:tc>
          <w:tcPr>
            <w:tcW w:type="dxa" w:w="3680"/>
            <w:tcBorders>
              <w:top w:val="single" w:color="AACCDD" w:sz="4"/>
              <w:left w:val="single" w:color="AACCDD" w:sz="4"/>
              <w:bottom w:val="single" w:color="AACCDD" w:sz="4"/>
              <w:right w:val="single" w:color="AACCDD" w:sz="4"/>
            </w:tcBorders>
            <w:shd w:fill="FFFFFF" w:val="clear"/>
            <w:tcMar>
              <w:top w:type="dxa" w:w="80"/>
              <w:left w:type="dxa" w:w="120"/>
              <w:bottom w:type="dxa" w:w="80"/>
              <w:right w:type="dxa" w:w="120"/>
            </w:tcMar>
            <w:vAlign w:val="center"/>
          </w:tcPr>
          <w:p>
            <w:pPr>
              <w:spacing w:after="60" w:before="60"/>
              <w:jc w:val="left"/>
            </w:pPr>
            <w:r>
              <w:rPr>
                <w:b w:val="false"/>
                <w:bCs w:val="false"/>
                <w:color w:val="333333"/>
                <w:sz w:val="18"/>
                <w:szCs w:val="18"/>
              </w:rPr>
              <w:t xml:space="preserve">MR + ED entry signals</w:t>
            </w:r>
          </w:p>
        </w:tc>
      </w:tr>
      <w:tr>
        <w:tc>
          <w:tcPr>
            <w:tcW w:type="dxa" w:w="2800"/>
            <w:tcBorders>
              <w:top w:val="single" w:color="AACCDD" w:sz="4"/>
              <w:left w:val="single" w:color="AACCDD" w:sz="4"/>
              <w:bottom w:val="single" w:color="AACCDD" w:sz="4"/>
              <w:right w:val="single" w:color="AACCDD" w:sz="4"/>
            </w:tcBorders>
            <w:shd w:fill="EEF5F9" w:val="clear"/>
            <w:tcMar>
              <w:top w:type="dxa" w:w="80"/>
              <w:left w:type="dxa" w:w="120"/>
              <w:bottom w:type="dxa" w:w="80"/>
              <w:right w:type="dxa" w:w="120"/>
            </w:tcMar>
            <w:vAlign w:val="center"/>
          </w:tcPr>
          <w:p>
            <w:pPr>
              <w:spacing w:after="60" w:before="60"/>
              <w:jc w:val="left"/>
            </w:pPr>
            <w:r>
              <w:rPr>
                <w:b w:val="false"/>
                <w:bCs w:val="false"/>
                <w:color w:val="333333"/>
                <w:sz w:val="18"/>
                <w:szCs w:val="18"/>
              </w:rPr>
              <w:t xml:space="preserve">Daily exit check</w:t>
            </w:r>
          </w:p>
        </w:tc>
        <w:tc>
          <w:tcPr>
            <w:tcW w:type="dxa" w:w="1400"/>
            <w:tcBorders>
              <w:top w:val="single" w:color="AACCDD" w:sz="4"/>
              <w:left w:val="single" w:color="AACCDD" w:sz="4"/>
              <w:bottom w:val="single" w:color="AACCDD" w:sz="4"/>
              <w:right w:val="single" w:color="AACCDD" w:sz="4"/>
            </w:tcBorders>
            <w:shd w:fill="EEF5F9" w:val="clear"/>
            <w:tcMar>
              <w:top w:type="dxa" w:w="80"/>
              <w:left w:type="dxa" w:w="120"/>
              <w:bottom w:type="dxa" w:w="80"/>
              <w:right w:type="dxa" w:w="120"/>
            </w:tcMar>
            <w:vAlign w:val="center"/>
          </w:tcPr>
          <w:p>
            <w:pPr>
              <w:spacing w:after="60" w:before="60"/>
              <w:jc w:val="left"/>
            </w:pPr>
            <w:r>
              <w:rPr>
                <w:b w:val="false"/>
                <w:bCs w:val="false"/>
                <w:color w:val="333333"/>
                <w:sz w:val="18"/>
                <w:szCs w:val="18"/>
              </w:rPr>
              <w:t xml:space="preserve">09:45</w:t>
            </w:r>
          </w:p>
        </w:tc>
        <w:tc>
          <w:tcPr>
            <w:tcW w:type="dxa" w:w="2200"/>
            <w:tcBorders>
              <w:top w:val="single" w:color="AACCDD" w:sz="4"/>
              <w:left w:val="single" w:color="AACCDD" w:sz="4"/>
              <w:bottom w:val="single" w:color="AACCDD" w:sz="4"/>
              <w:right w:val="single" w:color="AACCDD" w:sz="4"/>
            </w:tcBorders>
            <w:shd w:fill="EEF5F9" w:val="clear"/>
            <w:tcMar>
              <w:top w:type="dxa" w:w="80"/>
              <w:left w:type="dxa" w:w="120"/>
              <w:bottom w:type="dxa" w:w="80"/>
              <w:right w:type="dxa" w:w="120"/>
            </w:tcMar>
            <w:vAlign w:val="center"/>
          </w:tcPr>
          <w:p>
            <w:pPr>
              <w:spacing w:after="60" w:before="60"/>
              <w:jc w:val="left"/>
            </w:pPr>
            <w:r>
              <w:rPr>
                <w:b w:val="false"/>
                <w:bCs w:val="false"/>
                <w:color w:val="333333"/>
                <w:sz w:val="18"/>
                <w:szCs w:val="18"/>
              </w:rPr>
              <w:t xml:space="preserve">Daily</w:t>
            </w:r>
          </w:p>
        </w:tc>
        <w:tc>
          <w:tcPr>
            <w:tcW w:type="dxa" w:w="3680"/>
            <w:tcBorders>
              <w:top w:val="single" w:color="AACCDD" w:sz="4"/>
              <w:left w:val="single" w:color="AACCDD" w:sz="4"/>
              <w:bottom w:val="single" w:color="AACCDD" w:sz="4"/>
              <w:right w:val="single" w:color="AACCDD" w:sz="4"/>
            </w:tcBorders>
            <w:shd w:fill="EEF5F9" w:val="clear"/>
            <w:tcMar>
              <w:top w:type="dxa" w:w="80"/>
              <w:left w:type="dxa" w:w="120"/>
              <w:bottom w:type="dxa" w:w="80"/>
              <w:right w:type="dxa" w:w="120"/>
            </w:tcMar>
            <w:vAlign w:val="center"/>
          </w:tcPr>
          <w:p>
            <w:pPr>
              <w:spacing w:after="60" w:before="60"/>
              <w:jc w:val="left"/>
            </w:pPr>
            <w:r>
              <w:rPr>
                <w:b w:val="false"/>
                <w:bCs w:val="false"/>
                <w:color w:val="333333"/>
                <w:sz w:val="18"/>
                <w:szCs w:val="18"/>
              </w:rPr>
              <w:t xml:space="preserve">Stop loss monitoring</w:t>
            </w:r>
          </w:p>
        </w:tc>
      </w:tr>
      <w:tr>
        <w:tc>
          <w:tcPr>
            <w:tcW w:type="dxa" w:w="2800"/>
            <w:tcBorders>
              <w:top w:val="single" w:color="AACCDD" w:sz="4"/>
              <w:left w:val="single" w:color="AACCDD" w:sz="4"/>
              <w:bottom w:val="single" w:color="AACCDD" w:sz="4"/>
              <w:right w:val="single" w:color="AACCDD" w:sz="4"/>
            </w:tcBorders>
            <w:shd w:fill="FFFFFF" w:val="clear"/>
            <w:tcMar>
              <w:top w:type="dxa" w:w="80"/>
              <w:left w:type="dxa" w:w="120"/>
              <w:bottom w:type="dxa" w:w="80"/>
              <w:right w:type="dxa" w:w="120"/>
            </w:tcMar>
            <w:vAlign w:val="center"/>
          </w:tcPr>
          <w:p>
            <w:pPr>
              <w:spacing w:after="60" w:before="60"/>
              <w:jc w:val="left"/>
            </w:pPr>
            <w:r>
              <w:rPr>
                <w:b w:val="false"/>
                <w:bCs w:val="false"/>
                <w:color w:val="333333"/>
                <w:sz w:val="18"/>
                <w:szCs w:val="18"/>
              </w:rPr>
              <w:t xml:space="preserve">Weekly rotation</w:t>
            </w:r>
          </w:p>
        </w:tc>
        <w:tc>
          <w:tcPr>
            <w:tcW w:type="dxa" w:w="1400"/>
            <w:tcBorders>
              <w:top w:val="single" w:color="AACCDD" w:sz="4"/>
              <w:left w:val="single" w:color="AACCDD" w:sz="4"/>
              <w:bottom w:val="single" w:color="AACCDD" w:sz="4"/>
              <w:right w:val="single" w:color="AACCDD" w:sz="4"/>
            </w:tcBorders>
            <w:shd w:fill="FFFFFF" w:val="clear"/>
            <w:tcMar>
              <w:top w:type="dxa" w:w="80"/>
              <w:left w:type="dxa" w:w="120"/>
              <w:bottom w:type="dxa" w:w="80"/>
              <w:right w:type="dxa" w:w="120"/>
            </w:tcMar>
            <w:vAlign w:val="center"/>
          </w:tcPr>
          <w:p>
            <w:pPr>
              <w:spacing w:after="60" w:before="60"/>
              <w:jc w:val="left"/>
            </w:pPr>
            <w:r>
              <w:rPr>
                <w:b w:val="false"/>
                <w:bCs w:val="false"/>
                <w:color w:val="333333"/>
                <w:sz w:val="18"/>
                <w:szCs w:val="18"/>
              </w:rPr>
              <w:t xml:space="preserve">10:00</w:t>
            </w:r>
          </w:p>
        </w:tc>
        <w:tc>
          <w:tcPr>
            <w:tcW w:type="dxa" w:w="2200"/>
            <w:tcBorders>
              <w:top w:val="single" w:color="AACCDD" w:sz="4"/>
              <w:left w:val="single" w:color="AACCDD" w:sz="4"/>
              <w:bottom w:val="single" w:color="AACCDD" w:sz="4"/>
              <w:right w:val="single" w:color="AACCDD" w:sz="4"/>
            </w:tcBorders>
            <w:shd w:fill="FFFFFF" w:val="clear"/>
            <w:tcMar>
              <w:top w:type="dxa" w:w="80"/>
              <w:left w:type="dxa" w:w="120"/>
              <w:bottom w:type="dxa" w:w="80"/>
              <w:right w:type="dxa" w:w="120"/>
            </w:tcMar>
            <w:vAlign w:val="center"/>
          </w:tcPr>
          <w:p>
            <w:pPr>
              <w:spacing w:after="60" w:before="60"/>
              <w:jc w:val="left"/>
            </w:pPr>
            <w:r>
              <w:rPr>
                <w:b w:val="false"/>
                <w:bCs w:val="false"/>
                <w:color w:val="333333"/>
                <w:sz w:val="18"/>
                <w:szCs w:val="18"/>
              </w:rPr>
              <w:t xml:space="preserve">Weekly (Saturday)</w:t>
            </w:r>
          </w:p>
        </w:tc>
        <w:tc>
          <w:tcPr>
            <w:tcW w:type="dxa" w:w="3680"/>
            <w:tcBorders>
              <w:top w:val="single" w:color="AACCDD" w:sz="4"/>
              <w:left w:val="single" w:color="AACCDD" w:sz="4"/>
              <w:bottom w:val="single" w:color="AACCDD" w:sz="4"/>
              <w:right w:val="single" w:color="AACCDD" w:sz="4"/>
            </w:tcBorders>
            <w:shd w:fill="FFFFFF" w:val="clear"/>
            <w:tcMar>
              <w:top w:type="dxa" w:w="80"/>
              <w:left w:type="dxa" w:w="120"/>
              <w:bottom w:type="dxa" w:w="80"/>
              <w:right w:type="dxa" w:w="120"/>
            </w:tcMar>
            <w:vAlign w:val="center"/>
          </w:tcPr>
          <w:p>
            <w:pPr>
              <w:spacing w:after="60" w:before="60"/>
              <w:jc w:val="left"/>
            </w:pPr>
            <w:r>
              <w:rPr>
                <w:b w:val="false"/>
                <w:bCs w:val="false"/>
                <w:color w:val="333333"/>
                <w:sz w:val="18"/>
                <w:szCs w:val="18"/>
              </w:rPr>
              <w:t xml:space="preserve">Full V4 portfolio rebalance</w:t>
            </w:r>
          </w:p>
        </w:tc>
      </w:tr>
      <w:tr>
        <w:tc>
          <w:tcPr>
            <w:tcW w:type="dxa" w:w="2800"/>
            <w:tcBorders>
              <w:top w:val="single" w:color="AACCDD" w:sz="4"/>
              <w:left w:val="single" w:color="AACCDD" w:sz="4"/>
              <w:bottom w:val="single" w:color="AACCDD" w:sz="4"/>
              <w:right w:val="single" w:color="AACCDD" w:sz="4"/>
            </w:tcBorders>
            <w:shd w:fill="EEF5F9" w:val="clear"/>
            <w:tcMar>
              <w:top w:type="dxa" w:w="80"/>
              <w:left w:type="dxa" w:w="120"/>
              <w:bottom w:type="dxa" w:w="80"/>
              <w:right w:type="dxa" w:w="120"/>
            </w:tcMar>
            <w:vAlign w:val="center"/>
          </w:tcPr>
          <w:p>
            <w:pPr>
              <w:spacing w:after="60" w:before="60"/>
              <w:jc w:val="left"/>
            </w:pPr>
            <w:r>
              <w:rPr>
                <w:b w:val="false"/>
                <w:bCs w:val="false"/>
                <w:color w:val="333333"/>
                <w:sz w:val="18"/>
                <w:szCs w:val="18"/>
              </w:rPr>
              <w:t xml:space="preserve">News scanner</w:t>
            </w:r>
          </w:p>
        </w:tc>
        <w:tc>
          <w:tcPr>
            <w:tcW w:type="dxa" w:w="1400"/>
            <w:tcBorders>
              <w:top w:val="single" w:color="AACCDD" w:sz="4"/>
              <w:left w:val="single" w:color="AACCDD" w:sz="4"/>
              <w:bottom w:val="single" w:color="AACCDD" w:sz="4"/>
              <w:right w:val="single" w:color="AACCDD" w:sz="4"/>
            </w:tcBorders>
            <w:shd w:fill="EEF5F9" w:val="clear"/>
            <w:tcMar>
              <w:top w:type="dxa" w:w="80"/>
              <w:left w:type="dxa" w:w="120"/>
              <w:bottom w:type="dxa" w:w="80"/>
              <w:right w:type="dxa" w:w="120"/>
            </w:tcMar>
            <w:vAlign w:val="center"/>
          </w:tcPr>
          <w:p>
            <w:pPr>
              <w:spacing w:after="60" w:before="60"/>
              <w:jc w:val="left"/>
            </w:pPr>
            <w:r>
              <w:rPr>
                <w:b w:val="false"/>
                <w:bCs w:val="false"/>
                <w:color w:val="333333"/>
                <w:sz w:val="18"/>
                <w:szCs w:val="18"/>
              </w:rPr>
              <w:t xml:space="preserve">04:00, 08:00</w:t>
            </w:r>
          </w:p>
        </w:tc>
        <w:tc>
          <w:tcPr>
            <w:tcW w:type="dxa" w:w="2200"/>
            <w:tcBorders>
              <w:top w:val="single" w:color="AACCDD" w:sz="4"/>
              <w:left w:val="single" w:color="AACCDD" w:sz="4"/>
              <w:bottom w:val="single" w:color="AACCDD" w:sz="4"/>
              <w:right w:val="single" w:color="AACCDD" w:sz="4"/>
            </w:tcBorders>
            <w:shd w:fill="EEF5F9" w:val="clear"/>
            <w:tcMar>
              <w:top w:type="dxa" w:w="80"/>
              <w:left w:type="dxa" w:w="120"/>
              <w:bottom w:type="dxa" w:w="80"/>
              <w:right w:type="dxa" w:w="120"/>
            </w:tcMar>
            <w:vAlign w:val="center"/>
          </w:tcPr>
          <w:p>
            <w:pPr>
              <w:spacing w:after="60" w:before="60"/>
              <w:jc w:val="left"/>
            </w:pPr>
            <w:r>
              <w:rPr>
                <w:b w:val="false"/>
                <w:bCs w:val="false"/>
                <w:color w:val="333333"/>
                <w:sz w:val="18"/>
                <w:szCs w:val="18"/>
              </w:rPr>
              <w:t xml:space="preserve">Daily</w:t>
            </w:r>
          </w:p>
        </w:tc>
        <w:tc>
          <w:tcPr>
            <w:tcW w:type="dxa" w:w="3680"/>
            <w:tcBorders>
              <w:top w:val="single" w:color="AACCDD" w:sz="4"/>
              <w:left w:val="single" w:color="AACCDD" w:sz="4"/>
              <w:bottom w:val="single" w:color="AACCDD" w:sz="4"/>
              <w:right w:val="single" w:color="AACCDD" w:sz="4"/>
            </w:tcBorders>
            <w:shd w:fill="EEF5F9" w:val="clear"/>
            <w:tcMar>
              <w:top w:type="dxa" w:w="80"/>
              <w:left w:type="dxa" w:w="120"/>
              <w:bottom w:type="dxa" w:w="80"/>
              <w:right w:type="dxa" w:w="120"/>
            </w:tcMar>
            <w:vAlign w:val="center"/>
          </w:tcPr>
          <w:p>
            <w:pPr>
              <w:spacing w:after="60" w:before="60"/>
              <w:jc w:val="left"/>
            </w:pPr>
            <w:r>
              <w:rPr>
                <w:b w:val="false"/>
                <w:bCs w:val="false"/>
                <w:color w:val="333333"/>
                <w:sz w:val="18"/>
                <w:szCs w:val="18"/>
              </w:rPr>
              <w:t xml:space="preserve">AI event signal scanning</w:t>
            </w:r>
          </w:p>
        </w:tc>
      </w:tr>
      <w:tr>
        <w:tc>
          <w:tcPr>
            <w:tcW w:type="dxa" w:w="2800"/>
            <w:tcBorders>
              <w:top w:val="single" w:color="AACCDD" w:sz="4"/>
              <w:left w:val="single" w:color="AACCDD" w:sz="4"/>
              <w:bottom w:val="single" w:color="AACCDD" w:sz="4"/>
              <w:right w:val="single" w:color="AACCDD" w:sz="4"/>
            </w:tcBorders>
            <w:shd w:fill="FFFFFF" w:val="clear"/>
            <w:tcMar>
              <w:top w:type="dxa" w:w="80"/>
              <w:left w:type="dxa" w:w="120"/>
              <w:bottom w:type="dxa" w:w="80"/>
              <w:right w:type="dxa" w:w="120"/>
            </w:tcMar>
            <w:vAlign w:val="center"/>
          </w:tcPr>
          <w:p>
            <w:pPr>
              <w:spacing w:after="60" w:before="60"/>
              <w:jc w:val="left"/>
            </w:pPr>
            <w:r>
              <w:rPr>
                <w:b w:val="false"/>
                <w:bCs w:val="false"/>
                <w:color w:val="333333"/>
                <w:sz w:val="18"/>
                <w:szCs w:val="18"/>
              </w:rPr>
              <w:t xml:space="preserve">Newsletter send</w:t>
            </w:r>
          </w:p>
        </w:tc>
        <w:tc>
          <w:tcPr>
            <w:tcW w:type="dxa" w:w="1400"/>
            <w:tcBorders>
              <w:top w:val="single" w:color="AACCDD" w:sz="4"/>
              <w:left w:val="single" w:color="AACCDD" w:sz="4"/>
              <w:bottom w:val="single" w:color="AACCDD" w:sz="4"/>
              <w:right w:val="single" w:color="AACCDD" w:sz="4"/>
            </w:tcBorders>
            <w:shd w:fill="FFFFFF" w:val="clear"/>
            <w:tcMar>
              <w:top w:type="dxa" w:w="80"/>
              <w:left w:type="dxa" w:w="120"/>
              <w:bottom w:type="dxa" w:w="80"/>
              <w:right w:type="dxa" w:w="120"/>
            </w:tcMar>
            <w:vAlign w:val="center"/>
          </w:tcPr>
          <w:p>
            <w:pPr>
              <w:spacing w:after="60" w:before="60"/>
              <w:jc w:val="left"/>
            </w:pPr>
            <w:r>
              <w:rPr>
                <w:b w:val="false"/>
                <w:bCs w:val="false"/>
                <w:color w:val="333333"/>
                <w:sz w:val="18"/>
                <w:szCs w:val="18"/>
              </w:rPr>
              <w:t xml:space="preserve">12:00</w:t>
            </w:r>
          </w:p>
        </w:tc>
        <w:tc>
          <w:tcPr>
            <w:tcW w:type="dxa" w:w="2200"/>
            <w:tcBorders>
              <w:top w:val="single" w:color="AACCDD" w:sz="4"/>
              <w:left w:val="single" w:color="AACCDD" w:sz="4"/>
              <w:bottom w:val="single" w:color="AACCDD" w:sz="4"/>
              <w:right w:val="single" w:color="AACCDD" w:sz="4"/>
            </w:tcBorders>
            <w:shd w:fill="FFFFFF" w:val="clear"/>
            <w:tcMar>
              <w:top w:type="dxa" w:w="80"/>
              <w:left w:type="dxa" w:w="120"/>
              <w:bottom w:type="dxa" w:w="80"/>
              <w:right w:type="dxa" w:w="120"/>
            </w:tcMar>
            <w:vAlign w:val="center"/>
          </w:tcPr>
          <w:p>
            <w:pPr>
              <w:spacing w:after="60" w:before="60"/>
              <w:jc w:val="left"/>
            </w:pPr>
            <w:r>
              <w:rPr>
                <w:b w:val="false"/>
                <w:bCs w:val="false"/>
                <w:color w:val="333333"/>
                <w:sz w:val="18"/>
                <w:szCs w:val="18"/>
              </w:rPr>
              <w:t xml:space="preserve">Weekly (Saturday)</w:t>
            </w:r>
          </w:p>
        </w:tc>
        <w:tc>
          <w:tcPr>
            <w:tcW w:type="dxa" w:w="3680"/>
            <w:tcBorders>
              <w:top w:val="single" w:color="AACCDD" w:sz="4"/>
              <w:left w:val="single" w:color="AACCDD" w:sz="4"/>
              <w:bottom w:val="single" w:color="AACCDD" w:sz="4"/>
              <w:right w:val="single" w:color="AACCDD" w:sz="4"/>
            </w:tcBorders>
            <w:shd w:fill="FFFFFF" w:val="clear"/>
            <w:tcMar>
              <w:top w:type="dxa" w:w="80"/>
              <w:left w:type="dxa" w:w="120"/>
              <w:bottom w:type="dxa" w:w="80"/>
              <w:right w:type="dxa" w:w="120"/>
            </w:tcMar>
            <w:vAlign w:val="center"/>
          </w:tcPr>
          <w:p>
            <w:pPr>
              <w:spacing w:after="60" w:before="60"/>
              <w:jc w:val="left"/>
            </w:pPr>
            <w:r>
              <w:rPr>
                <w:b w:val="false"/>
                <w:bCs w:val="false"/>
                <w:color w:val="333333"/>
                <w:sz w:val="18"/>
                <w:szCs w:val="18"/>
              </w:rPr>
              <w:t xml:space="preserve">Subscriber newsletter</w:t>
            </w:r>
          </w:p>
        </w:tc>
      </w:tr>
    </w:tbl>
    <w:p>
      <w:pPr>
        <w:spacing w:after="120" w:before="0"/>
      </w:pPr>
    </w:p>
    <w:p>
      <w:pPr>
        <w:pStyle w:val="Heading2"/>
        <w:pBdr>
          <w:bottom w:val="single" w:color="2C4A8C" w:sz="6"/>
        </w:pBdr>
        <w:spacing w:after="100" w:before="200"/>
      </w:pPr>
      <w:r>
        <w:rPr>
          <w:b/>
          <w:bCs/>
          <w:color w:val="1a2744"/>
          <w:sz w:val="24"/>
          <w:szCs w:val="24"/>
        </w:rPr>
        <w:t xml:space="preserve">8.3  Current Paper Trading Positions (March 2026)</w:t>
      </w:r>
    </w:p>
    <w:p>
      <w:pPr>
        <w:spacing w:after="60" w:before="60"/>
        <w:jc w:val="left"/>
      </w:pPr>
      <w:r>
        <w:rPr>
          <w:b w:val="false"/>
          <w:bCs w:val="false"/>
          <w:i w:val="false"/>
          <w:iCs w:val="false"/>
          <w:color w:val="333333"/>
          <w:sz w:val="20"/>
          <w:szCs w:val="20"/>
        </w:rPr>
        <w:t xml:space="preserve">Current regime: Bear/Choppy. System correctly allocated to defensive and inverse ETFs.</w:t>
      </w:r>
    </w:p>
    <w:p>
      <w:pPr>
        <w:spacing w:after="60" w:before="0"/>
      </w:pPr>
    </w:p>
    <w:tbl>
      <w:tblPr>
        <w:tblW w:type="dxa" w:w="10080"/>
        <w:tblBorders>
          <w:top w:val="single" w:color="AACCDD" w:sz="4"/>
          <w:left w:val="single" w:color="AACCDD" w:sz="4"/>
          <w:bottom w:val="single" w:color="AACCDD" w:sz="4"/>
          <w:right w:val="single" w:color="AACCDD" w:sz="4"/>
          <w:insideH w:val="single" w:color="auto" w:sz="4"/>
          <w:insideV w:val="single" w:color="auto" w:sz="4"/>
        </w:tblBorders>
      </w:tblPr>
      <w:tblGrid>
        <w:gridCol w:w="1000"/>
        <w:gridCol w:w="2800"/>
        <w:gridCol w:w="1400"/>
        <w:gridCol w:w="1000"/>
        <w:gridCol w:w="3880"/>
      </w:tblGrid>
      <w:tr>
        <w:trPr>
          <w:tblHeader/>
        </w:trPr>
        <w:tc>
          <w:tcPr>
            <w:tcW w:type="dxa" w:w="1000"/>
            <w:tcBorders>
              <w:top w:val="single" w:color="AACCDD" w:sz="4"/>
              <w:left w:val="single" w:color="AACCDD" w:sz="4"/>
              <w:bottom w:val="single" w:color="AACCDD" w:sz="4"/>
              <w:right w:val="single" w:color="AACCDD" w:sz="4"/>
            </w:tcBorders>
            <w:shd w:fill="D5E8F0" w:val="clear"/>
            <w:tcMar>
              <w:top w:type="dxa" w:w="80"/>
              <w:left w:type="dxa" w:w="120"/>
              <w:bottom w:type="dxa" w:w="80"/>
              <w:right w:type="dxa" w:w="120"/>
            </w:tcMar>
            <w:vAlign w:val="center"/>
          </w:tcPr>
          <w:p>
            <w:pPr>
              <w:spacing w:after="60" w:before="60"/>
              <w:jc w:val="left"/>
            </w:pPr>
            <w:r>
              <w:rPr>
                <w:b/>
                <w:bCs/>
                <w:color w:val="1a2744"/>
                <w:sz w:val="18"/>
                <w:szCs w:val="18"/>
              </w:rPr>
              <w:t xml:space="preserve">Symbol</w:t>
            </w:r>
          </w:p>
        </w:tc>
        <w:tc>
          <w:tcPr>
            <w:tcW w:type="dxa" w:w="2800"/>
            <w:tcBorders>
              <w:top w:val="single" w:color="AACCDD" w:sz="4"/>
              <w:left w:val="single" w:color="AACCDD" w:sz="4"/>
              <w:bottom w:val="single" w:color="AACCDD" w:sz="4"/>
              <w:right w:val="single" w:color="AACCDD" w:sz="4"/>
            </w:tcBorders>
            <w:shd w:fill="D5E8F0" w:val="clear"/>
            <w:tcMar>
              <w:top w:type="dxa" w:w="80"/>
              <w:left w:type="dxa" w:w="120"/>
              <w:bottom w:type="dxa" w:w="80"/>
              <w:right w:type="dxa" w:w="120"/>
            </w:tcMar>
            <w:vAlign w:val="center"/>
          </w:tcPr>
          <w:p>
            <w:pPr>
              <w:spacing w:after="60" w:before="60"/>
              <w:jc w:val="left"/>
            </w:pPr>
            <w:r>
              <w:rPr>
                <w:b/>
                <w:bCs/>
                <w:color w:val="1a2744"/>
                <w:sz w:val="18"/>
                <w:szCs w:val="18"/>
              </w:rPr>
              <w:t xml:space="preserve">Description</w:t>
            </w:r>
          </w:p>
        </w:tc>
        <w:tc>
          <w:tcPr>
            <w:tcW w:type="dxa" w:w="1400"/>
            <w:tcBorders>
              <w:top w:val="single" w:color="AACCDD" w:sz="4"/>
              <w:left w:val="single" w:color="AACCDD" w:sz="4"/>
              <w:bottom w:val="single" w:color="AACCDD" w:sz="4"/>
              <w:right w:val="single" w:color="AACCDD" w:sz="4"/>
            </w:tcBorders>
            <w:shd w:fill="D5E8F0" w:val="clear"/>
            <w:tcMar>
              <w:top w:type="dxa" w:w="80"/>
              <w:left w:type="dxa" w:w="120"/>
              <w:bottom w:type="dxa" w:w="80"/>
              <w:right w:type="dxa" w:w="120"/>
            </w:tcMar>
            <w:vAlign w:val="center"/>
          </w:tcPr>
          <w:p>
            <w:pPr>
              <w:spacing w:after="60" w:before="60"/>
              <w:jc w:val="left"/>
            </w:pPr>
            <w:r>
              <w:rPr>
                <w:b/>
                <w:bCs/>
                <w:color w:val="1a2744"/>
                <w:sz w:val="18"/>
                <w:szCs w:val="18"/>
              </w:rPr>
              <w:t xml:space="preserve">Entry Price</w:t>
            </w:r>
          </w:p>
        </w:tc>
        <w:tc>
          <w:tcPr>
            <w:tcW w:type="dxa" w:w="1000"/>
            <w:tcBorders>
              <w:top w:val="single" w:color="AACCDD" w:sz="4"/>
              <w:left w:val="single" w:color="AACCDD" w:sz="4"/>
              <w:bottom w:val="single" w:color="AACCDD" w:sz="4"/>
              <w:right w:val="single" w:color="AACCDD" w:sz="4"/>
            </w:tcBorders>
            <w:shd w:fill="D5E8F0" w:val="clear"/>
            <w:tcMar>
              <w:top w:type="dxa" w:w="80"/>
              <w:left w:type="dxa" w:w="120"/>
              <w:bottom w:type="dxa" w:w="80"/>
              <w:right w:type="dxa" w:w="120"/>
            </w:tcMar>
            <w:vAlign w:val="center"/>
          </w:tcPr>
          <w:p>
            <w:pPr>
              <w:spacing w:after="60" w:before="60"/>
              <w:jc w:val="left"/>
            </w:pPr>
            <w:r>
              <w:rPr>
                <w:b/>
                <w:bCs/>
                <w:color w:val="1a2744"/>
                <w:sz w:val="18"/>
                <w:szCs w:val="18"/>
              </w:rPr>
              <w:t xml:space="preserve">Return</w:t>
            </w:r>
          </w:p>
        </w:tc>
        <w:tc>
          <w:tcPr>
            <w:tcW w:type="dxa" w:w="3880"/>
            <w:tcBorders>
              <w:top w:val="single" w:color="AACCDD" w:sz="4"/>
              <w:left w:val="single" w:color="AACCDD" w:sz="4"/>
              <w:bottom w:val="single" w:color="AACCDD" w:sz="4"/>
              <w:right w:val="single" w:color="AACCDD" w:sz="4"/>
            </w:tcBorders>
            <w:shd w:fill="D5E8F0" w:val="clear"/>
            <w:tcMar>
              <w:top w:type="dxa" w:w="80"/>
              <w:left w:type="dxa" w:w="120"/>
              <w:bottom w:type="dxa" w:w="80"/>
              <w:right w:type="dxa" w:w="120"/>
            </w:tcMar>
            <w:vAlign w:val="center"/>
          </w:tcPr>
          <w:p>
            <w:pPr>
              <w:spacing w:after="60" w:before="60"/>
              <w:jc w:val="left"/>
            </w:pPr>
            <w:r>
              <w:rPr>
                <w:b/>
                <w:bCs/>
                <w:color w:val="1a2744"/>
                <w:sz w:val="18"/>
                <w:szCs w:val="18"/>
              </w:rPr>
              <w:t xml:space="preserve">System Rationale</w:t>
            </w:r>
          </w:p>
        </w:tc>
      </w:tr>
      <w:tr>
        <w:tc>
          <w:tcPr>
            <w:tcW w:type="dxa" w:w="1000"/>
            <w:tcBorders>
              <w:top w:val="single" w:color="AACCDD" w:sz="4"/>
              <w:left w:val="single" w:color="AACCDD" w:sz="4"/>
              <w:bottom w:val="single" w:color="AACCDD" w:sz="4"/>
              <w:right w:val="single" w:color="AACCDD" w:sz="4"/>
            </w:tcBorders>
            <w:shd w:fill="FFFFFF" w:val="clear"/>
            <w:tcMar>
              <w:top w:type="dxa" w:w="80"/>
              <w:left w:type="dxa" w:w="120"/>
              <w:bottom w:type="dxa" w:w="80"/>
              <w:right w:type="dxa" w:w="120"/>
            </w:tcMar>
            <w:vAlign w:val="center"/>
          </w:tcPr>
          <w:p>
            <w:pPr>
              <w:spacing w:after="60" w:before="60"/>
              <w:jc w:val="left"/>
            </w:pPr>
            <w:r>
              <w:rPr>
                <w:b w:val="false"/>
                <w:bCs w:val="false"/>
                <w:color w:val="333333"/>
                <w:sz w:val="18"/>
                <w:szCs w:val="18"/>
              </w:rPr>
              <w:t xml:space="preserve">SH</w:t>
            </w:r>
          </w:p>
        </w:tc>
        <w:tc>
          <w:tcPr>
            <w:tcW w:type="dxa" w:w="2800"/>
            <w:tcBorders>
              <w:top w:val="single" w:color="AACCDD" w:sz="4"/>
              <w:left w:val="single" w:color="AACCDD" w:sz="4"/>
              <w:bottom w:val="single" w:color="AACCDD" w:sz="4"/>
              <w:right w:val="single" w:color="AACCDD" w:sz="4"/>
            </w:tcBorders>
            <w:shd w:fill="FFFFFF" w:val="clear"/>
            <w:tcMar>
              <w:top w:type="dxa" w:w="80"/>
              <w:left w:type="dxa" w:w="120"/>
              <w:bottom w:type="dxa" w:w="80"/>
              <w:right w:type="dxa" w:w="120"/>
            </w:tcMar>
            <w:vAlign w:val="center"/>
          </w:tcPr>
          <w:p>
            <w:pPr>
              <w:spacing w:after="60" w:before="60"/>
              <w:jc w:val="left"/>
            </w:pPr>
            <w:r>
              <w:rPr>
                <w:b w:val="false"/>
                <w:bCs w:val="false"/>
                <w:color w:val="333333"/>
                <w:sz w:val="18"/>
                <w:szCs w:val="18"/>
              </w:rPr>
              <w:t xml:space="preserve">ProShares Short S&amp;P500</w:t>
            </w:r>
          </w:p>
        </w:tc>
        <w:tc>
          <w:tcPr>
            <w:tcW w:type="dxa" w:w="1400"/>
            <w:tcBorders>
              <w:top w:val="single" w:color="AACCDD" w:sz="4"/>
              <w:left w:val="single" w:color="AACCDD" w:sz="4"/>
              <w:bottom w:val="single" w:color="AACCDD" w:sz="4"/>
              <w:right w:val="single" w:color="AACCDD" w:sz="4"/>
            </w:tcBorders>
            <w:shd w:fill="FFFFFF" w:val="clear"/>
            <w:tcMar>
              <w:top w:type="dxa" w:w="80"/>
              <w:left w:type="dxa" w:w="120"/>
              <w:bottom w:type="dxa" w:w="80"/>
              <w:right w:type="dxa" w:w="120"/>
            </w:tcMar>
            <w:vAlign w:val="center"/>
          </w:tcPr>
          <w:p>
            <w:pPr>
              <w:spacing w:after="60" w:before="60"/>
              <w:jc w:val="left"/>
            </w:pPr>
            <w:r>
              <w:rPr>
                <w:b w:val="false"/>
                <w:bCs w:val="false"/>
                <w:color w:val="333333"/>
                <w:sz w:val="18"/>
                <w:szCs w:val="18"/>
              </w:rPr>
              <w:t xml:space="preserve">$37.13</w:t>
            </w:r>
          </w:p>
        </w:tc>
        <w:tc>
          <w:tcPr>
            <w:tcW w:type="dxa" w:w="1000"/>
            <w:tcBorders>
              <w:top w:val="single" w:color="AACCDD" w:sz="4"/>
              <w:left w:val="single" w:color="AACCDD" w:sz="4"/>
              <w:bottom w:val="single" w:color="AACCDD" w:sz="4"/>
              <w:right w:val="single" w:color="AACCDD" w:sz="4"/>
            </w:tcBorders>
            <w:shd w:fill="FFFFFF" w:val="clear"/>
            <w:tcMar>
              <w:top w:type="dxa" w:w="80"/>
              <w:left w:type="dxa" w:w="120"/>
              <w:bottom w:type="dxa" w:w="80"/>
              <w:right w:type="dxa" w:w="120"/>
            </w:tcMar>
            <w:vAlign w:val="center"/>
          </w:tcPr>
          <w:p>
            <w:pPr>
              <w:spacing w:after="60" w:before="60"/>
              <w:jc w:val="left"/>
            </w:pPr>
            <w:r>
              <w:rPr>
                <w:b w:val="false"/>
                <w:bCs w:val="false"/>
                <w:color w:val="333333"/>
                <w:sz w:val="18"/>
                <w:szCs w:val="18"/>
              </w:rPr>
              <w:t xml:space="preserve">+1.38%</w:t>
            </w:r>
          </w:p>
        </w:tc>
        <w:tc>
          <w:tcPr>
            <w:tcW w:type="dxa" w:w="3880"/>
            <w:tcBorders>
              <w:top w:val="single" w:color="AACCDD" w:sz="4"/>
              <w:left w:val="single" w:color="AACCDD" w:sz="4"/>
              <w:bottom w:val="single" w:color="AACCDD" w:sz="4"/>
              <w:right w:val="single" w:color="AACCDD" w:sz="4"/>
            </w:tcBorders>
            <w:shd w:fill="FFFFFF" w:val="clear"/>
            <w:tcMar>
              <w:top w:type="dxa" w:w="80"/>
              <w:left w:type="dxa" w:w="120"/>
              <w:bottom w:type="dxa" w:w="80"/>
              <w:right w:type="dxa" w:w="120"/>
            </w:tcMar>
            <w:vAlign w:val="center"/>
          </w:tcPr>
          <w:p>
            <w:pPr>
              <w:spacing w:after="60" w:before="60"/>
              <w:jc w:val="left"/>
            </w:pPr>
            <w:r>
              <w:rPr>
                <w:b w:val="false"/>
                <w:bCs w:val="false"/>
                <w:color w:val="333333"/>
                <w:sz w:val="18"/>
                <w:szCs w:val="18"/>
              </w:rPr>
              <w:t xml:space="preserve">Bear regime defensive</w:t>
            </w:r>
          </w:p>
        </w:tc>
      </w:tr>
      <w:tr>
        <w:tc>
          <w:tcPr>
            <w:tcW w:type="dxa" w:w="1000"/>
            <w:tcBorders>
              <w:top w:val="single" w:color="AACCDD" w:sz="4"/>
              <w:left w:val="single" w:color="AACCDD" w:sz="4"/>
              <w:bottom w:val="single" w:color="AACCDD" w:sz="4"/>
              <w:right w:val="single" w:color="AACCDD" w:sz="4"/>
            </w:tcBorders>
            <w:shd w:fill="EEF5F9" w:val="clear"/>
            <w:tcMar>
              <w:top w:type="dxa" w:w="80"/>
              <w:left w:type="dxa" w:w="120"/>
              <w:bottom w:type="dxa" w:w="80"/>
              <w:right w:type="dxa" w:w="120"/>
            </w:tcMar>
            <w:vAlign w:val="center"/>
          </w:tcPr>
          <w:p>
            <w:pPr>
              <w:spacing w:after="60" w:before="60"/>
              <w:jc w:val="left"/>
            </w:pPr>
            <w:r>
              <w:rPr>
                <w:b w:val="false"/>
                <w:bCs w:val="false"/>
                <w:color w:val="333333"/>
                <w:sz w:val="18"/>
                <w:szCs w:val="18"/>
              </w:rPr>
              <w:t xml:space="preserve">PSQ</w:t>
            </w:r>
          </w:p>
        </w:tc>
        <w:tc>
          <w:tcPr>
            <w:tcW w:type="dxa" w:w="2800"/>
            <w:tcBorders>
              <w:top w:val="single" w:color="AACCDD" w:sz="4"/>
              <w:left w:val="single" w:color="AACCDD" w:sz="4"/>
              <w:bottom w:val="single" w:color="AACCDD" w:sz="4"/>
              <w:right w:val="single" w:color="AACCDD" w:sz="4"/>
            </w:tcBorders>
            <w:shd w:fill="EEF5F9" w:val="clear"/>
            <w:tcMar>
              <w:top w:type="dxa" w:w="80"/>
              <w:left w:type="dxa" w:w="120"/>
              <w:bottom w:type="dxa" w:w="80"/>
              <w:right w:type="dxa" w:w="120"/>
            </w:tcMar>
            <w:vAlign w:val="center"/>
          </w:tcPr>
          <w:p>
            <w:pPr>
              <w:spacing w:after="60" w:before="60"/>
              <w:jc w:val="left"/>
            </w:pPr>
            <w:r>
              <w:rPr>
                <w:b w:val="false"/>
                <w:bCs w:val="false"/>
                <w:color w:val="333333"/>
                <w:sz w:val="18"/>
                <w:szCs w:val="18"/>
              </w:rPr>
              <w:t xml:space="preserve">ProShares Short QQQ</w:t>
            </w:r>
          </w:p>
        </w:tc>
        <w:tc>
          <w:tcPr>
            <w:tcW w:type="dxa" w:w="1400"/>
            <w:tcBorders>
              <w:top w:val="single" w:color="AACCDD" w:sz="4"/>
              <w:left w:val="single" w:color="AACCDD" w:sz="4"/>
              <w:bottom w:val="single" w:color="AACCDD" w:sz="4"/>
              <w:right w:val="single" w:color="AACCDD" w:sz="4"/>
            </w:tcBorders>
            <w:shd w:fill="EEF5F9" w:val="clear"/>
            <w:tcMar>
              <w:top w:type="dxa" w:w="80"/>
              <w:left w:type="dxa" w:w="120"/>
              <w:bottom w:type="dxa" w:w="80"/>
              <w:right w:type="dxa" w:w="120"/>
            </w:tcMar>
            <w:vAlign w:val="center"/>
          </w:tcPr>
          <w:p>
            <w:pPr>
              <w:spacing w:after="60" w:before="60"/>
              <w:jc w:val="left"/>
            </w:pPr>
            <w:r>
              <w:rPr>
                <w:b w:val="false"/>
                <w:bCs w:val="false"/>
                <w:color w:val="333333"/>
                <w:sz w:val="18"/>
                <w:szCs w:val="18"/>
              </w:rPr>
              <w:t xml:space="preserve">$31.15</w:t>
            </w:r>
          </w:p>
        </w:tc>
        <w:tc>
          <w:tcPr>
            <w:tcW w:type="dxa" w:w="1000"/>
            <w:tcBorders>
              <w:top w:val="single" w:color="AACCDD" w:sz="4"/>
              <w:left w:val="single" w:color="AACCDD" w:sz="4"/>
              <w:bottom w:val="single" w:color="AACCDD" w:sz="4"/>
              <w:right w:val="single" w:color="AACCDD" w:sz="4"/>
            </w:tcBorders>
            <w:shd w:fill="EEF5F9" w:val="clear"/>
            <w:tcMar>
              <w:top w:type="dxa" w:w="80"/>
              <w:left w:type="dxa" w:w="120"/>
              <w:bottom w:type="dxa" w:w="80"/>
              <w:right w:type="dxa" w:w="120"/>
            </w:tcMar>
            <w:vAlign w:val="center"/>
          </w:tcPr>
          <w:p>
            <w:pPr>
              <w:spacing w:after="60" w:before="60"/>
              <w:jc w:val="left"/>
            </w:pPr>
            <w:r>
              <w:rPr>
                <w:b w:val="false"/>
                <w:bCs w:val="false"/>
                <w:color w:val="333333"/>
                <w:sz w:val="18"/>
                <w:szCs w:val="18"/>
              </w:rPr>
              <w:t xml:space="preserve">+1.23%</w:t>
            </w:r>
          </w:p>
        </w:tc>
        <w:tc>
          <w:tcPr>
            <w:tcW w:type="dxa" w:w="3880"/>
            <w:tcBorders>
              <w:top w:val="single" w:color="AACCDD" w:sz="4"/>
              <w:left w:val="single" w:color="AACCDD" w:sz="4"/>
              <w:bottom w:val="single" w:color="AACCDD" w:sz="4"/>
              <w:right w:val="single" w:color="AACCDD" w:sz="4"/>
            </w:tcBorders>
            <w:shd w:fill="EEF5F9" w:val="clear"/>
            <w:tcMar>
              <w:top w:type="dxa" w:w="80"/>
              <w:left w:type="dxa" w:w="120"/>
              <w:bottom w:type="dxa" w:w="80"/>
              <w:right w:type="dxa" w:w="120"/>
            </w:tcMar>
            <w:vAlign w:val="center"/>
          </w:tcPr>
          <w:p>
            <w:pPr>
              <w:spacing w:after="60" w:before="60"/>
              <w:jc w:val="left"/>
            </w:pPr>
            <w:r>
              <w:rPr>
                <w:b w:val="false"/>
                <w:bCs w:val="false"/>
                <w:color w:val="333333"/>
                <w:sz w:val="18"/>
                <w:szCs w:val="18"/>
              </w:rPr>
              <w:t xml:space="preserve">Bear regime defensive</w:t>
            </w:r>
          </w:p>
        </w:tc>
      </w:tr>
      <w:tr>
        <w:tc>
          <w:tcPr>
            <w:tcW w:type="dxa" w:w="1000"/>
            <w:tcBorders>
              <w:top w:val="single" w:color="AACCDD" w:sz="4"/>
              <w:left w:val="single" w:color="AACCDD" w:sz="4"/>
              <w:bottom w:val="single" w:color="AACCDD" w:sz="4"/>
              <w:right w:val="single" w:color="AACCDD" w:sz="4"/>
            </w:tcBorders>
            <w:shd w:fill="FFFFFF" w:val="clear"/>
            <w:tcMar>
              <w:top w:type="dxa" w:w="80"/>
              <w:left w:type="dxa" w:w="120"/>
              <w:bottom w:type="dxa" w:w="80"/>
              <w:right w:type="dxa" w:w="120"/>
            </w:tcMar>
            <w:vAlign w:val="center"/>
          </w:tcPr>
          <w:p>
            <w:pPr>
              <w:spacing w:after="60" w:before="60"/>
              <w:jc w:val="left"/>
            </w:pPr>
            <w:r>
              <w:rPr>
                <w:b w:val="false"/>
                <w:bCs w:val="false"/>
                <w:color w:val="333333"/>
                <w:sz w:val="18"/>
                <w:szCs w:val="18"/>
              </w:rPr>
              <w:t xml:space="preserve">RWM</w:t>
            </w:r>
          </w:p>
        </w:tc>
        <w:tc>
          <w:tcPr>
            <w:tcW w:type="dxa" w:w="2800"/>
            <w:tcBorders>
              <w:top w:val="single" w:color="AACCDD" w:sz="4"/>
              <w:left w:val="single" w:color="AACCDD" w:sz="4"/>
              <w:bottom w:val="single" w:color="AACCDD" w:sz="4"/>
              <w:right w:val="single" w:color="AACCDD" w:sz="4"/>
            </w:tcBorders>
            <w:shd w:fill="FFFFFF" w:val="clear"/>
            <w:tcMar>
              <w:top w:type="dxa" w:w="80"/>
              <w:left w:type="dxa" w:w="120"/>
              <w:bottom w:type="dxa" w:w="80"/>
              <w:right w:type="dxa" w:w="120"/>
            </w:tcMar>
            <w:vAlign w:val="center"/>
          </w:tcPr>
          <w:p>
            <w:pPr>
              <w:spacing w:after="60" w:before="60"/>
              <w:jc w:val="left"/>
            </w:pPr>
            <w:r>
              <w:rPr>
                <w:b w:val="false"/>
                <w:bCs w:val="false"/>
                <w:color w:val="333333"/>
                <w:sz w:val="18"/>
                <w:szCs w:val="18"/>
              </w:rPr>
              <w:t xml:space="preserve">ProShares Short Russell 2000</w:t>
            </w:r>
          </w:p>
        </w:tc>
        <w:tc>
          <w:tcPr>
            <w:tcW w:type="dxa" w:w="1400"/>
            <w:tcBorders>
              <w:top w:val="single" w:color="AACCDD" w:sz="4"/>
              <w:left w:val="single" w:color="AACCDD" w:sz="4"/>
              <w:bottom w:val="single" w:color="AACCDD" w:sz="4"/>
              <w:right w:val="single" w:color="AACCDD" w:sz="4"/>
            </w:tcBorders>
            <w:shd w:fill="FFFFFF" w:val="clear"/>
            <w:tcMar>
              <w:top w:type="dxa" w:w="80"/>
              <w:left w:type="dxa" w:w="120"/>
              <w:bottom w:type="dxa" w:w="80"/>
              <w:right w:type="dxa" w:w="120"/>
            </w:tcMar>
            <w:vAlign w:val="center"/>
          </w:tcPr>
          <w:p>
            <w:pPr>
              <w:spacing w:after="60" w:before="60"/>
              <w:jc w:val="left"/>
            </w:pPr>
            <w:r>
              <w:rPr>
                <w:b w:val="false"/>
                <w:bCs w:val="false"/>
                <w:color w:val="333333"/>
                <w:sz w:val="18"/>
                <w:szCs w:val="18"/>
              </w:rPr>
              <w:t xml:space="preserve">$16.20</w:t>
            </w:r>
          </w:p>
        </w:tc>
        <w:tc>
          <w:tcPr>
            <w:tcW w:type="dxa" w:w="1000"/>
            <w:tcBorders>
              <w:top w:val="single" w:color="AACCDD" w:sz="4"/>
              <w:left w:val="single" w:color="AACCDD" w:sz="4"/>
              <w:bottom w:val="single" w:color="AACCDD" w:sz="4"/>
              <w:right w:val="single" w:color="AACCDD" w:sz="4"/>
            </w:tcBorders>
            <w:shd w:fill="FFFFFF" w:val="clear"/>
            <w:tcMar>
              <w:top w:type="dxa" w:w="80"/>
              <w:left w:type="dxa" w:w="120"/>
              <w:bottom w:type="dxa" w:w="80"/>
              <w:right w:type="dxa" w:w="120"/>
            </w:tcMar>
            <w:vAlign w:val="center"/>
          </w:tcPr>
          <w:p>
            <w:pPr>
              <w:spacing w:after="60" w:before="60"/>
              <w:jc w:val="left"/>
            </w:pPr>
            <w:r>
              <w:rPr>
                <w:b w:val="false"/>
                <w:bCs w:val="false"/>
                <w:color w:val="333333"/>
                <w:sz w:val="18"/>
                <w:szCs w:val="18"/>
              </w:rPr>
              <w:t xml:space="preserve">+0.79%</w:t>
            </w:r>
          </w:p>
        </w:tc>
        <w:tc>
          <w:tcPr>
            <w:tcW w:type="dxa" w:w="3880"/>
            <w:tcBorders>
              <w:top w:val="single" w:color="AACCDD" w:sz="4"/>
              <w:left w:val="single" w:color="AACCDD" w:sz="4"/>
              <w:bottom w:val="single" w:color="AACCDD" w:sz="4"/>
              <w:right w:val="single" w:color="AACCDD" w:sz="4"/>
            </w:tcBorders>
            <w:shd w:fill="FFFFFF" w:val="clear"/>
            <w:tcMar>
              <w:top w:type="dxa" w:w="80"/>
              <w:left w:type="dxa" w:w="120"/>
              <w:bottom w:type="dxa" w:w="80"/>
              <w:right w:type="dxa" w:w="120"/>
            </w:tcMar>
            <w:vAlign w:val="center"/>
          </w:tcPr>
          <w:p>
            <w:pPr>
              <w:spacing w:after="60" w:before="60"/>
              <w:jc w:val="left"/>
            </w:pPr>
            <w:r>
              <w:rPr>
                <w:b w:val="false"/>
                <w:bCs w:val="false"/>
                <w:color w:val="333333"/>
                <w:sz w:val="18"/>
                <w:szCs w:val="18"/>
              </w:rPr>
              <w:t xml:space="preserve">Bear regime defensive</w:t>
            </w:r>
          </w:p>
        </w:tc>
      </w:tr>
      <w:tr>
        <w:tc>
          <w:tcPr>
            <w:tcW w:type="dxa" w:w="1000"/>
            <w:tcBorders>
              <w:top w:val="single" w:color="AACCDD" w:sz="4"/>
              <w:left w:val="single" w:color="AACCDD" w:sz="4"/>
              <w:bottom w:val="single" w:color="AACCDD" w:sz="4"/>
              <w:right w:val="single" w:color="AACCDD" w:sz="4"/>
            </w:tcBorders>
            <w:shd w:fill="EEF5F9" w:val="clear"/>
            <w:tcMar>
              <w:top w:type="dxa" w:w="80"/>
              <w:left w:type="dxa" w:w="120"/>
              <w:bottom w:type="dxa" w:w="80"/>
              <w:right w:type="dxa" w:w="120"/>
            </w:tcMar>
            <w:vAlign w:val="center"/>
          </w:tcPr>
          <w:p>
            <w:pPr>
              <w:spacing w:after="60" w:before="60"/>
              <w:jc w:val="left"/>
            </w:pPr>
            <w:r>
              <w:rPr>
                <w:b w:val="false"/>
                <w:bCs w:val="false"/>
                <w:color w:val="333333"/>
                <w:sz w:val="18"/>
                <w:szCs w:val="18"/>
              </w:rPr>
              <w:t xml:space="preserve">SHY</w:t>
            </w:r>
          </w:p>
        </w:tc>
        <w:tc>
          <w:tcPr>
            <w:tcW w:type="dxa" w:w="2800"/>
            <w:tcBorders>
              <w:top w:val="single" w:color="AACCDD" w:sz="4"/>
              <w:left w:val="single" w:color="AACCDD" w:sz="4"/>
              <w:bottom w:val="single" w:color="AACCDD" w:sz="4"/>
              <w:right w:val="single" w:color="AACCDD" w:sz="4"/>
            </w:tcBorders>
            <w:shd w:fill="EEF5F9" w:val="clear"/>
            <w:tcMar>
              <w:top w:type="dxa" w:w="80"/>
              <w:left w:type="dxa" w:w="120"/>
              <w:bottom w:type="dxa" w:w="80"/>
              <w:right w:type="dxa" w:w="120"/>
            </w:tcMar>
            <w:vAlign w:val="center"/>
          </w:tcPr>
          <w:p>
            <w:pPr>
              <w:spacing w:after="60" w:before="60"/>
              <w:jc w:val="left"/>
            </w:pPr>
            <w:r>
              <w:rPr>
                <w:b w:val="false"/>
                <w:bCs w:val="false"/>
                <w:color w:val="333333"/>
                <w:sz w:val="18"/>
                <w:szCs w:val="18"/>
              </w:rPr>
              <w:t xml:space="preserve">iShares Short Treasury Bond</w:t>
            </w:r>
          </w:p>
        </w:tc>
        <w:tc>
          <w:tcPr>
            <w:tcW w:type="dxa" w:w="1400"/>
            <w:tcBorders>
              <w:top w:val="single" w:color="AACCDD" w:sz="4"/>
              <w:left w:val="single" w:color="AACCDD" w:sz="4"/>
              <w:bottom w:val="single" w:color="AACCDD" w:sz="4"/>
              <w:right w:val="single" w:color="AACCDD" w:sz="4"/>
            </w:tcBorders>
            <w:shd w:fill="EEF5F9" w:val="clear"/>
            <w:tcMar>
              <w:top w:type="dxa" w:w="80"/>
              <w:left w:type="dxa" w:w="120"/>
              <w:bottom w:type="dxa" w:w="80"/>
              <w:right w:type="dxa" w:w="120"/>
            </w:tcMar>
            <w:vAlign w:val="center"/>
          </w:tcPr>
          <w:p>
            <w:pPr>
              <w:spacing w:after="60" w:before="60"/>
              <w:jc w:val="left"/>
            </w:pPr>
            <w:r>
              <w:rPr>
                <w:b w:val="false"/>
                <w:bCs w:val="false"/>
                <w:color w:val="333333"/>
                <w:sz w:val="18"/>
                <w:szCs w:val="18"/>
              </w:rPr>
              <w:t xml:space="preserve">$82.63</w:t>
            </w:r>
          </w:p>
        </w:tc>
        <w:tc>
          <w:tcPr>
            <w:tcW w:type="dxa" w:w="1000"/>
            <w:tcBorders>
              <w:top w:val="single" w:color="AACCDD" w:sz="4"/>
              <w:left w:val="single" w:color="AACCDD" w:sz="4"/>
              <w:bottom w:val="single" w:color="AACCDD" w:sz="4"/>
              <w:right w:val="single" w:color="AACCDD" w:sz="4"/>
            </w:tcBorders>
            <w:shd w:fill="EEF5F9" w:val="clear"/>
            <w:tcMar>
              <w:top w:type="dxa" w:w="80"/>
              <w:left w:type="dxa" w:w="120"/>
              <w:bottom w:type="dxa" w:w="80"/>
              <w:right w:type="dxa" w:w="120"/>
            </w:tcMar>
            <w:vAlign w:val="center"/>
          </w:tcPr>
          <w:p>
            <w:pPr>
              <w:spacing w:after="60" w:before="60"/>
              <w:jc w:val="left"/>
            </w:pPr>
            <w:r>
              <w:rPr>
                <w:b w:val="false"/>
                <w:bCs w:val="false"/>
                <w:color w:val="333333"/>
                <w:sz w:val="18"/>
                <w:szCs w:val="18"/>
              </w:rPr>
              <w:t xml:space="preserve">-0.17%</w:t>
            </w:r>
          </w:p>
        </w:tc>
        <w:tc>
          <w:tcPr>
            <w:tcW w:type="dxa" w:w="3880"/>
            <w:tcBorders>
              <w:top w:val="single" w:color="AACCDD" w:sz="4"/>
              <w:left w:val="single" w:color="AACCDD" w:sz="4"/>
              <w:bottom w:val="single" w:color="AACCDD" w:sz="4"/>
              <w:right w:val="single" w:color="AACCDD" w:sz="4"/>
            </w:tcBorders>
            <w:shd w:fill="EEF5F9" w:val="clear"/>
            <w:tcMar>
              <w:top w:type="dxa" w:w="80"/>
              <w:left w:type="dxa" w:w="120"/>
              <w:bottom w:type="dxa" w:w="80"/>
              <w:right w:type="dxa" w:w="120"/>
            </w:tcMar>
            <w:vAlign w:val="center"/>
          </w:tcPr>
          <w:p>
            <w:pPr>
              <w:spacing w:after="60" w:before="60"/>
              <w:jc w:val="left"/>
            </w:pPr>
            <w:r>
              <w:rPr>
                <w:b w:val="false"/>
                <w:bCs w:val="false"/>
                <w:color w:val="333333"/>
                <w:sz w:val="18"/>
                <w:szCs w:val="18"/>
              </w:rPr>
              <w:t xml:space="preserve">Safe haven capital preservation</w:t>
            </w:r>
          </w:p>
        </w:tc>
      </w:tr>
    </w:tbl>
    <w:p>
      <w:pPr>
        <w:spacing w:after="80" w:before="0"/>
      </w:pPr>
    </w:p>
    <w:p>
      <w:pPr>
        <w:spacing w:after="60" w:before="60"/>
        <w:jc w:val="left"/>
      </w:pPr>
      <w:r>
        <w:rPr>
          <w:b/>
          <w:bCs/>
          <w:i w:val="false"/>
          <w:iCs w:val="false"/>
          <w:color w:val="1a2744"/>
          <w:sz w:val="20"/>
          <w:szCs w:val="20"/>
        </w:rPr>
        <w:t xml:space="preserve">Observation: The system entered inverse ETFs and treasury ETFs during a bear/choppy market — exactly the correct behavior. This validates the regime detection system is functioning as designed.</w:t>
      </w:r>
    </w:p>
    <w:p>
      <w:pPr>
        <w:spacing w:after="80" w:before="0"/>
      </w:pPr>
    </w:p>
    <w:p>
      <w:r>
        <w:br w:type="page"/>
      </w:r>
    </w:p>
    <w:p>
      <w:pPr>
        <w:pStyle w:val="Heading1"/>
        <w:shd w:fill="1a2744" w:val="clear"/>
        <w:spacing w:after="160" w:before="280"/>
      </w:pPr>
      <w:r>
        <w:rPr>
          <w:b/>
          <w:bCs/>
          <w:color w:val="FFFFFF"/>
          <w:sz w:val="32"/>
          <w:szCs w:val="32"/>
        </w:rPr>
        <w:t xml:space="preserve">SECTION 9: PARAMETER REFERENCE TABLE</w:t>
      </w:r>
    </w:p>
    <w:p>
      <w:pPr>
        <w:spacing w:after="60" w:before="60"/>
        <w:jc w:val="left"/>
      </w:pPr>
      <w:r>
        <w:rPr>
          <w:b w:val="false"/>
          <w:bCs w:val="false"/>
          <w:i w:val="false"/>
          <w:iCs w:val="false"/>
          <w:color w:val="333333"/>
          <w:sz w:val="20"/>
          <w:szCs w:val="20"/>
        </w:rPr>
        <w:t xml:space="preserve">Complete production parameter settings:</w:t>
      </w:r>
    </w:p>
    <w:p>
      <w:pPr>
        <w:spacing w:after="60" w:before="0"/>
      </w:pPr>
    </w:p>
    <w:tbl>
      <w:tblPr>
        <w:tblW w:type="dxa" w:w="10080"/>
        <w:tblBorders>
          <w:top w:val="single" w:color="AACCDD" w:sz="4"/>
          <w:left w:val="single" w:color="AACCDD" w:sz="4"/>
          <w:bottom w:val="single" w:color="AACCDD" w:sz="4"/>
          <w:right w:val="single" w:color="AACCDD" w:sz="4"/>
          <w:insideH w:val="single" w:color="auto" w:sz="4"/>
          <w:insideV w:val="single" w:color="auto" w:sz="4"/>
        </w:tblBorders>
      </w:tblPr>
      <w:tblGrid>
        <w:gridCol w:w="2200"/>
        <w:gridCol w:w="1500"/>
        <w:gridCol w:w="2400"/>
        <w:gridCol w:w="3980"/>
      </w:tblGrid>
      <w:tr>
        <w:trPr>
          <w:tblHeader/>
        </w:trPr>
        <w:tc>
          <w:tcPr>
            <w:tcW w:type="dxa" w:w="2200"/>
            <w:tcBorders>
              <w:top w:val="single" w:color="AACCDD" w:sz="4"/>
              <w:left w:val="single" w:color="AACCDD" w:sz="4"/>
              <w:bottom w:val="single" w:color="AACCDD" w:sz="4"/>
              <w:right w:val="single" w:color="AACCDD" w:sz="4"/>
            </w:tcBorders>
            <w:shd w:fill="D5E8F0" w:val="clear"/>
            <w:tcMar>
              <w:top w:type="dxa" w:w="80"/>
              <w:left w:type="dxa" w:w="120"/>
              <w:bottom w:type="dxa" w:w="80"/>
              <w:right w:type="dxa" w:w="120"/>
            </w:tcMar>
            <w:vAlign w:val="center"/>
          </w:tcPr>
          <w:p>
            <w:pPr>
              <w:spacing w:after="60" w:before="60"/>
              <w:jc w:val="left"/>
            </w:pPr>
            <w:r>
              <w:rPr>
                <w:b/>
                <w:bCs/>
                <w:color w:val="1a2744"/>
                <w:sz w:val="18"/>
                <w:szCs w:val="18"/>
              </w:rPr>
              <w:t xml:space="preserve">Parameter</w:t>
            </w:r>
          </w:p>
        </w:tc>
        <w:tc>
          <w:tcPr>
            <w:tcW w:type="dxa" w:w="1500"/>
            <w:tcBorders>
              <w:top w:val="single" w:color="AACCDD" w:sz="4"/>
              <w:left w:val="single" w:color="AACCDD" w:sz="4"/>
              <w:bottom w:val="single" w:color="AACCDD" w:sz="4"/>
              <w:right w:val="single" w:color="AACCDD" w:sz="4"/>
            </w:tcBorders>
            <w:shd w:fill="D5E8F0" w:val="clear"/>
            <w:tcMar>
              <w:top w:type="dxa" w:w="80"/>
              <w:left w:type="dxa" w:w="120"/>
              <w:bottom w:type="dxa" w:w="80"/>
              <w:right w:type="dxa" w:w="120"/>
            </w:tcMar>
            <w:vAlign w:val="center"/>
          </w:tcPr>
          <w:p>
            <w:pPr>
              <w:spacing w:after="60" w:before="60"/>
              <w:jc w:val="left"/>
            </w:pPr>
            <w:r>
              <w:rPr>
                <w:b/>
                <w:bCs/>
                <w:color w:val="1a2744"/>
                <w:sz w:val="18"/>
                <w:szCs w:val="18"/>
              </w:rPr>
              <w:t xml:space="preserve">Value</w:t>
            </w:r>
          </w:p>
        </w:tc>
        <w:tc>
          <w:tcPr>
            <w:tcW w:type="dxa" w:w="2400"/>
            <w:tcBorders>
              <w:top w:val="single" w:color="AACCDD" w:sz="4"/>
              <w:left w:val="single" w:color="AACCDD" w:sz="4"/>
              <w:bottom w:val="single" w:color="AACCDD" w:sz="4"/>
              <w:right w:val="single" w:color="AACCDD" w:sz="4"/>
            </w:tcBorders>
            <w:shd w:fill="D5E8F0" w:val="clear"/>
            <w:tcMar>
              <w:top w:type="dxa" w:w="80"/>
              <w:left w:type="dxa" w:w="120"/>
              <w:bottom w:type="dxa" w:w="80"/>
              <w:right w:type="dxa" w:w="120"/>
            </w:tcMar>
            <w:vAlign w:val="center"/>
          </w:tcPr>
          <w:p>
            <w:pPr>
              <w:spacing w:after="60" w:before="60"/>
              <w:jc w:val="left"/>
            </w:pPr>
            <w:r>
              <w:rPr>
                <w:b/>
                <w:bCs/>
                <w:color w:val="1a2744"/>
                <w:sz w:val="18"/>
                <w:szCs w:val="18"/>
              </w:rPr>
              <w:t xml:space="preserve">Validation Method</w:t>
            </w:r>
          </w:p>
        </w:tc>
        <w:tc>
          <w:tcPr>
            <w:tcW w:type="dxa" w:w="3980"/>
            <w:tcBorders>
              <w:top w:val="single" w:color="AACCDD" w:sz="4"/>
              <w:left w:val="single" w:color="AACCDD" w:sz="4"/>
              <w:bottom w:val="single" w:color="AACCDD" w:sz="4"/>
              <w:right w:val="single" w:color="AACCDD" w:sz="4"/>
            </w:tcBorders>
            <w:shd w:fill="D5E8F0" w:val="clear"/>
            <w:tcMar>
              <w:top w:type="dxa" w:w="80"/>
              <w:left w:type="dxa" w:w="120"/>
              <w:bottom w:type="dxa" w:w="80"/>
              <w:right w:type="dxa" w:w="120"/>
            </w:tcMar>
            <w:vAlign w:val="center"/>
          </w:tcPr>
          <w:p>
            <w:pPr>
              <w:spacing w:after="60" w:before="60"/>
              <w:jc w:val="left"/>
            </w:pPr>
            <w:r>
              <w:rPr>
                <w:b/>
                <w:bCs/>
                <w:color w:val="1a2744"/>
                <w:sz w:val="18"/>
                <w:szCs w:val="18"/>
              </w:rPr>
              <w:t xml:space="preserve">Notes</w:t>
            </w:r>
          </w:p>
        </w:tc>
      </w:tr>
      <w:tr>
        <w:tc>
          <w:tcPr>
            <w:tcW w:type="dxa" w:w="2200"/>
            <w:tcBorders>
              <w:top w:val="single" w:color="AACCDD" w:sz="4"/>
              <w:left w:val="single" w:color="AACCDD" w:sz="4"/>
              <w:bottom w:val="single" w:color="AACCDD" w:sz="4"/>
              <w:right w:val="single" w:color="AACCDD" w:sz="4"/>
            </w:tcBorders>
            <w:shd w:fill="FFFFFF" w:val="clear"/>
            <w:tcMar>
              <w:top w:type="dxa" w:w="80"/>
              <w:left w:type="dxa" w:w="120"/>
              <w:bottom w:type="dxa" w:w="80"/>
              <w:right w:type="dxa" w:w="120"/>
            </w:tcMar>
            <w:vAlign w:val="center"/>
          </w:tcPr>
          <w:p>
            <w:pPr>
              <w:spacing w:after="60" w:before="60"/>
              <w:jc w:val="left"/>
            </w:pPr>
            <w:r>
              <w:rPr>
                <w:b w:val="false"/>
                <w:bCs w:val="false"/>
                <w:color w:val="333333"/>
                <w:sz w:val="18"/>
                <w:szCs w:val="18"/>
              </w:rPr>
              <w:t xml:space="preserve">TOP_N (holdings)</w:t>
            </w:r>
          </w:p>
        </w:tc>
        <w:tc>
          <w:tcPr>
            <w:tcW w:type="dxa" w:w="1500"/>
            <w:tcBorders>
              <w:top w:val="single" w:color="AACCDD" w:sz="4"/>
              <w:left w:val="single" w:color="AACCDD" w:sz="4"/>
              <w:bottom w:val="single" w:color="AACCDD" w:sz="4"/>
              <w:right w:val="single" w:color="AACCDD" w:sz="4"/>
            </w:tcBorders>
            <w:shd w:fill="FFFFFF" w:val="clear"/>
            <w:tcMar>
              <w:top w:type="dxa" w:w="80"/>
              <w:left w:type="dxa" w:w="120"/>
              <w:bottom w:type="dxa" w:w="80"/>
              <w:right w:type="dxa" w:w="120"/>
            </w:tcMar>
            <w:vAlign w:val="center"/>
          </w:tcPr>
          <w:p>
            <w:pPr>
              <w:spacing w:after="60" w:before="60"/>
              <w:jc w:val="left"/>
            </w:pPr>
            <w:r>
              <w:rPr>
                <w:b w:val="false"/>
                <w:bCs w:val="false"/>
                <w:color w:val="333333"/>
                <w:sz w:val="18"/>
                <w:szCs w:val="18"/>
              </w:rPr>
              <w:t xml:space="preserve">3</w:t>
            </w:r>
          </w:p>
        </w:tc>
        <w:tc>
          <w:tcPr>
            <w:tcW w:type="dxa" w:w="2400"/>
            <w:tcBorders>
              <w:top w:val="single" w:color="AACCDD" w:sz="4"/>
              <w:left w:val="single" w:color="AACCDD" w:sz="4"/>
              <w:bottom w:val="single" w:color="AACCDD" w:sz="4"/>
              <w:right w:val="single" w:color="AACCDD" w:sz="4"/>
            </w:tcBorders>
            <w:shd w:fill="FFFFFF" w:val="clear"/>
            <w:tcMar>
              <w:top w:type="dxa" w:w="80"/>
              <w:left w:type="dxa" w:w="120"/>
              <w:bottom w:type="dxa" w:w="80"/>
              <w:right w:type="dxa" w:w="120"/>
            </w:tcMar>
            <w:vAlign w:val="center"/>
          </w:tcPr>
          <w:p>
            <w:pPr>
              <w:spacing w:after="60" w:before="60"/>
              <w:jc w:val="left"/>
            </w:pPr>
            <w:r>
              <w:rPr>
                <w:b w:val="false"/>
                <w:bCs w:val="false"/>
                <w:color w:val="333333"/>
                <w:sz w:val="18"/>
                <w:szCs w:val="18"/>
              </w:rPr>
              <w:t xml:space="preserve">Walk-Forward 5 windows</w:t>
            </w:r>
          </w:p>
        </w:tc>
        <w:tc>
          <w:tcPr>
            <w:tcW w:type="dxa" w:w="3980"/>
            <w:tcBorders>
              <w:top w:val="single" w:color="AACCDD" w:sz="4"/>
              <w:left w:val="single" w:color="AACCDD" w:sz="4"/>
              <w:bottom w:val="single" w:color="AACCDD" w:sz="4"/>
              <w:right w:val="single" w:color="AACCDD" w:sz="4"/>
            </w:tcBorders>
            <w:shd w:fill="FFFFFF" w:val="clear"/>
            <w:tcMar>
              <w:top w:type="dxa" w:w="80"/>
              <w:left w:type="dxa" w:w="120"/>
              <w:bottom w:type="dxa" w:w="80"/>
              <w:right w:type="dxa" w:w="120"/>
            </w:tcMar>
            <w:vAlign w:val="center"/>
          </w:tcPr>
          <w:p>
            <w:pPr>
              <w:spacing w:after="60" w:before="60"/>
              <w:jc w:val="left"/>
            </w:pPr>
            <w:r>
              <w:rPr>
                <w:b w:val="false"/>
                <w:bCs w:val="false"/>
                <w:color w:val="333333"/>
                <w:sz w:val="18"/>
                <w:szCs w:val="18"/>
              </w:rPr>
              <w:t xml:space="preserve">Best avg OOS Sharpe, no catastrophic window</w:t>
            </w:r>
          </w:p>
        </w:tc>
      </w:tr>
      <w:tr>
        <w:tc>
          <w:tcPr>
            <w:tcW w:type="dxa" w:w="2200"/>
            <w:tcBorders>
              <w:top w:val="single" w:color="AACCDD" w:sz="4"/>
              <w:left w:val="single" w:color="AACCDD" w:sz="4"/>
              <w:bottom w:val="single" w:color="AACCDD" w:sz="4"/>
              <w:right w:val="single" w:color="AACCDD" w:sz="4"/>
            </w:tcBorders>
            <w:shd w:fill="EEF5F9" w:val="clear"/>
            <w:tcMar>
              <w:top w:type="dxa" w:w="80"/>
              <w:left w:type="dxa" w:w="120"/>
              <w:bottom w:type="dxa" w:w="80"/>
              <w:right w:type="dxa" w:w="120"/>
            </w:tcMar>
            <w:vAlign w:val="center"/>
          </w:tcPr>
          <w:p>
            <w:pPr>
              <w:spacing w:after="60" w:before="60"/>
              <w:jc w:val="left"/>
            </w:pPr>
            <w:r>
              <w:rPr>
                <w:b w:val="false"/>
                <w:bCs w:val="false"/>
                <w:color w:val="333333"/>
                <w:sz w:val="18"/>
                <w:szCs w:val="18"/>
              </w:rPr>
              <w:t xml:space="preserve">ATR_STOP_MULT</w:t>
            </w:r>
          </w:p>
        </w:tc>
        <w:tc>
          <w:tcPr>
            <w:tcW w:type="dxa" w:w="1500"/>
            <w:tcBorders>
              <w:top w:val="single" w:color="AACCDD" w:sz="4"/>
              <w:left w:val="single" w:color="AACCDD" w:sz="4"/>
              <w:bottom w:val="single" w:color="AACCDD" w:sz="4"/>
              <w:right w:val="single" w:color="AACCDD" w:sz="4"/>
            </w:tcBorders>
            <w:shd w:fill="EEF5F9" w:val="clear"/>
            <w:tcMar>
              <w:top w:type="dxa" w:w="80"/>
              <w:left w:type="dxa" w:w="120"/>
              <w:bottom w:type="dxa" w:w="80"/>
              <w:right w:type="dxa" w:w="120"/>
            </w:tcMar>
            <w:vAlign w:val="center"/>
          </w:tcPr>
          <w:p>
            <w:pPr>
              <w:spacing w:after="60" w:before="60"/>
              <w:jc w:val="left"/>
            </w:pPr>
            <w:r>
              <w:rPr>
                <w:b w:val="false"/>
                <w:bCs w:val="false"/>
                <w:color w:val="333333"/>
                <w:sz w:val="18"/>
                <w:szCs w:val="18"/>
              </w:rPr>
              <w:t xml:space="preserve">1.5×</w:t>
            </w:r>
          </w:p>
        </w:tc>
        <w:tc>
          <w:tcPr>
            <w:tcW w:type="dxa" w:w="2400"/>
            <w:tcBorders>
              <w:top w:val="single" w:color="AACCDD" w:sz="4"/>
              <w:left w:val="single" w:color="AACCDD" w:sz="4"/>
              <w:bottom w:val="single" w:color="AACCDD" w:sz="4"/>
              <w:right w:val="single" w:color="AACCDD" w:sz="4"/>
            </w:tcBorders>
            <w:shd w:fill="EEF5F9" w:val="clear"/>
            <w:tcMar>
              <w:top w:type="dxa" w:w="80"/>
              <w:left w:type="dxa" w:w="120"/>
              <w:bottom w:type="dxa" w:w="80"/>
              <w:right w:type="dxa" w:w="120"/>
            </w:tcMar>
            <w:vAlign w:val="center"/>
          </w:tcPr>
          <w:p>
            <w:pPr>
              <w:spacing w:after="60" w:before="60"/>
              <w:jc w:val="left"/>
            </w:pPr>
            <w:r>
              <w:rPr>
                <w:b w:val="false"/>
                <w:bCs w:val="false"/>
                <w:color w:val="333333"/>
                <w:sz w:val="18"/>
                <w:szCs w:val="18"/>
              </w:rPr>
              <w:t xml:space="preserve">Pre-locked</w:t>
            </w:r>
          </w:p>
        </w:tc>
        <w:tc>
          <w:tcPr>
            <w:tcW w:type="dxa" w:w="3980"/>
            <w:tcBorders>
              <w:top w:val="single" w:color="AACCDD" w:sz="4"/>
              <w:left w:val="single" w:color="AACCDD" w:sz="4"/>
              <w:bottom w:val="single" w:color="AACCDD" w:sz="4"/>
              <w:right w:val="single" w:color="AACCDD" w:sz="4"/>
            </w:tcBorders>
            <w:shd w:fill="EEF5F9" w:val="clear"/>
            <w:tcMar>
              <w:top w:type="dxa" w:w="80"/>
              <w:left w:type="dxa" w:w="120"/>
              <w:bottom w:type="dxa" w:w="80"/>
              <w:right w:type="dxa" w:w="120"/>
            </w:tcMar>
            <w:vAlign w:val="center"/>
          </w:tcPr>
          <w:p>
            <w:pPr>
              <w:spacing w:after="60" w:before="60"/>
              <w:jc w:val="left"/>
            </w:pPr>
            <w:r>
              <w:rPr>
                <w:b w:val="false"/>
                <w:bCs w:val="false"/>
                <w:color w:val="333333"/>
                <w:sz w:val="18"/>
                <w:szCs w:val="18"/>
              </w:rPr>
              <w:t xml:space="preserve">Locked before WF search</w:t>
            </w:r>
          </w:p>
        </w:tc>
      </w:tr>
      <w:tr>
        <w:tc>
          <w:tcPr>
            <w:tcW w:type="dxa" w:w="2200"/>
            <w:tcBorders>
              <w:top w:val="single" w:color="AACCDD" w:sz="4"/>
              <w:left w:val="single" w:color="AACCDD" w:sz="4"/>
              <w:bottom w:val="single" w:color="AACCDD" w:sz="4"/>
              <w:right w:val="single" w:color="AACCDD" w:sz="4"/>
            </w:tcBorders>
            <w:shd w:fill="FFFFFF" w:val="clear"/>
            <w:tcMar>
              <w:top w:type="dxa" w:w="80"/>
              <w:left w:type="dxa" w:w="120"/>
              <w:bottom w:type="dxa" w:w="80"/>
              <w:right w:type="dxa" w:w="120"/>
            </w:tcMar>
            <w:vAlign w:val="center"/>
          </w:tcPr>
          <w:p>
            <w:pPr>
              <w:spacing w:after="60" w:before="60"/>
              <w:jc w:val="left"/>
            </w:pPr>
            <w:r>
              <w:rPr>
                <w:b w:val="false"/>
                <w:bCs w:val="false"/>
                <w:color w:val="333333"/>
                <w:sz w:val="18"/>
                <w:szCs w:val="18"/>
              </w:rPr>
              <w:t xml:space="preserve">TRAILING_STOP_MULT</w:t>
            </w:r>
          </w:p>
        </w:tc>
        <w:tc>
          <w:tcPr>
            <w:tcW w:type="dxa" w:w="1500"/>
            <w:tcBorders>
              <w:top w:val="single" w:color="AACCDD" w:sz="4"/>
              <w:left w:val="single" w:color="AACCDD" w:sz="4"/>
              <w:bottom w:val="single" w:color="AACCDD" w:sz="4"/>
              <w:right w:val="single" w:color="AACCDD" w:sz="4"/>
            </w:tcBorders>
            <w:shd w:fill="FFFFFF" w:val="clear"/>
            <w:tcMar>
              <w:top w:type="dxa" w:w="80"/>
              <w:left w:type="dxa" w:w="120"/>
              <w:bottom w:type="dxa" w:w="80"/>
              <w:right w:type="dxa" w:w="120"/>
            </w:tcMar>
            <w:vAlign w:val="center"/>
          </w:tcPr>
          <w:p>
            <w:pPr>
              <w:spacing w:after="60" w:before="60"/>
              <w:jc w:val="left"/>
            </w:pPr>
            <w:r>
              <w:rPr>
                <w:b w:val="false"/>
                <w:bCs w:val="false"/>
                <w:color w:val="333333"/>
                <w:sz w:val="18"/>
                <w:szCs w:val="18"/>
              </w:rPr>
              <w:t xml:space="preserve">1.5×</w:t>
            </w:r>
          </w:p>
        </w:tc>
        <w:tc>
          <w:tcPr>
            <w:tcW w:type="dxa" w:w="2400"/>
            <w:tcBorders>
              <w:top w:val="single" w:color="AACCDD" w:sz="4"/>
              <w:left w:val="single" w:color="AACCDD" w:sz="4"/>
              <w:bottom w:val="single" w:color="AACCDD" w:sz="4"/>
              <w:right w:val="single" w:color="AACCDD" w:sz="4"/>
            </w:tcBorders>
            <w:shd w:fill="FFFFFF" w:val="clear"/>
            <w:tcMar>
              <w:top w:type="dxa" w:w="80"/>
              <w:left w:type="dxa" w:w="120"/>
              <w:bottom w:type="dxa" w:w="80"/>
              <w:right w:type="dxa" w:w="120"/>
            </w:tcMar>
            <w:vAlign w:val="center"/>
          </w:tcPr>
          <w:p>
            <w:pPr>
              <w:spacing w:after="60" w:before="60"/>
              <w:jc w:val="left"/>
            </w:pPr>
            <w:r>
              <w:rPr>
                <w:b w:val="false"/>
                <w:bCs w:val="false"/>
                <w:color w:val="333333"/>
                <w:sz w:val="18"/>
                <w:szCs w:val="18"/>
              </w:rPr>
              <w:t xml:space="preserve">Pre-locked</w:t>
            </w:r>
          </w:p>
        </w:tc>
        <w:tc>
          <w:tcPr>
            <w:tcW w:type="dxa" w:w="3980"/>
            <w:tcBorders>
              <w:top w:val="single" w:color="AACCDD" w:sz="4"/>
              <w:left w:val="single" w:color="AACCDD" w:sz="4"/>
              <w:bottom w:val="single" w:color="AACCDD" w:sz="4"/>
              <w:right w:val="single" w:color="AACCDD" w:sz="4"/>
            </w:tcBorders>
            <w:shd w:fill="FFFFFF" w:val="clear"/>
            <w:tcMar>
              <w:top w:type="dxa" w:w="80"/>
              <w:left w:type="dxa" w:w="120"/>
              <w:bottom w:type="dxa" w:w="80"/>
              <w:right w:type="dxa" w:w="120"/>
            </w:tcMar>
            <w:vAlign w:val="center"/>
          </w:tcPr>
          <w:p>
            <w:pPr>
              <w:spacing w:after="60" w:before="60"/>
              <w:jc w:val="left"/>
            </w:pPr>
            <w:r>
              <w:rPr>
                <w:b w:val="false"/>
                <w:bCs w:val="false"/>
                <w:color w:val="333333"/>
                <w:sz w:val="18"/>
                <w:szCs w:val="18"/>
              </w:rPr>
              <w:t xml:space="preserve">Locked before WF search</w:t>
            </w:r>
          </w:p>
        </w:tc>
      </w:tr>
      <w:tr>
        <w:tc>
          <w:tcPr>
            <w:tcW w:type="dxa" w:w="2200"/>
            <w:tcBorders>
              <w:top w:val="single" w:color="AACCDD" w:sz="4"/>
              <w:left w:val="single" w:color="AACCDD" w:sz="4"/>
              <w:bottom w:val="single" w:color="AACCDD" w:sz="4"/>
              <w:right w:val="single" w:color="AACCDD" w:sz="4"/>
            </w:tcBorders>
            <w:shd w:fill="EEF5F9" w:val="clear"/>
            <w:tcMar>
              <w:top w:type="dxa" w:w="80"/>
              <w:left w:type="dxa" w:w="120"/>
              <w:bottom w:type="dxa" w:w="80"/>
              <w:right w:type="dxa" w:w="120"/>
            </w:tcMar>
            <w:vAlign w:val="center"/>
          </w:tcPr>
          <w:p>
            <w:pPr>
              <w:spacing w:after="60" w:before="60"/>
              <w:jc w:val="left"/>
            </w:pPr>
            <w:r>
              <w:rPr>
                <w:b w:val="false"/>
                <w:bCs w:val="false"/>
                <w:color w:val="333333"/>
                <w:sz w:val="18"/>
                <w:szCs w:val="18"/>
              </w:rPr>
              <w:t xml:space="preserve">TRAILING_ACTIVATE</w:t>
            </w:r>
          </w:p>
        </w:tc>
        <w:tc>
          <w:tcPr>
            <w:tcW w:type="dxa" w:w="1500"/>
            <w:tcBorders>
              <w:top w:val="single" w:color="AACCDD" w:sz="4"/>
              <w:left w:val="single" w:color="AACCDD" w:sz="4"/>
              <w:bottom w:val="single" w:color="AACCDD" w:sz="4"/>
              <w:right w:val="single" w:color="AACCDD" w:sz="4"/>
            </w:tcBorders>
            <w:shd w:fill="EEF5F9" w:val="clear"/>
            <w:tcMar>
              <w:top w:type="dxa" w:w="80"/>
              <w:left w:type="dxa" w:w="120"/>
              <w:bottom w:type="dxa" w:w="80"/>
              <w:right w:type="dxa" w:w="120"/>
            </w:tcMar>
            <w:vAlign w:val="center"/>
          </w:tcPr>
          <w:p>
            <w:pPr>
              <w:spacing w:after="60" w:before="60"/>
              <w:jc w:val="left"/>
            </w:pPr>
            <w:r>
              <w:rPr>
                <w:b w:val="false"/>
                <w:bCs w:val="false"/>
                <w:color w:val="333333"/>
                <w:sz w:val="18"/>
                <w:szCs w:val="18"/>
              </w:rPr>
              <w:t xml:space="preserve">0.5× ATR</w:t>
            </w:r>
          </w:p>
        </w:tc>
        <w:tc>
          <w:tcPr>
            <w:tcW w:type="dxa" w:w="2400"/>
            <w:tcBorders>
              <w:top w:val="single" w:color="AACCDD" w:sz="4"/>
              <w:left w:val="single" w:color="AACCDD" w:sz="4"/>
              <w:bottom w:val="single" w:color="AACCDD" w:sz="4"/>
              <w:right w:val="single" w:color="AACCDD" w:sz="4"/>
            </w:tcBorders>
            <w:shd w:fill="EEF5F9" w:val="clear"/>
            <w:tcMar>
              <w:top w:type="dxa" w:w="80"/>
              <w:left w:type="dxa" w:w="120"/>
              <w:bottom w:type="dxa" w:w="80"/>
              <w:right w:type="dxa" w:w="120"/>
            </w:tcMar>
            <w:vAlign w:val="center"/>
          </w:tcPr>
          <w:p>
            <w:pPr>
              <w:spacing w:after="60" w:before="60"/>
              <w:jc w:val="left"/>
            </w:pPr>
            <w:r>
              <w:rPr>
                <w:b w:val="false"/>
                <w:bCs w:val="false"/>
                <w:color w:val="333333"/>
                <w:sz w:val="18"/>
                <w:szCs w:val="18"/>
              </w:rPr>
              <w:t xml:space="preserve">Pre-locked</w:t>
            </w:r>
          </w:p>
        </w:tc>
        <w:tc>
          <w:tcPr>
            <w:tcW w:type="dxa" w:w="3980"/>
            <w:tcBorders>
              <w:top w:val="single" w:color="AACCDD" w:sz="4"/>
              <w:left w:val="single" w:color="AACCDD" w:sz="4"/>
              <w:bottom w:val="single" w:color="AACCDD" w:sz="4"/>
              <w:right w:val="single" w:color="AACCDD" w:sz="4"/>
            </w:tcBorders>
            <w:shd w:fill="EEF5F9" w:val="clear"/>
            <w:tcMar>
              <w:top w:type="dxa" w:w="80"/>
              <w:left w:type="dxa" w:w="120"/>
              <w:bottom w:type="dxa" w:w="80"/>
              <w:right w:type="dxa" w:w="120"/>
            </w:tcMar>
            <w:vAlign w:val="center"/>
          </w:tcPr>
          <w:p>
            <w:pPr>
              <w:spacing w:after="60" w:before="60"/>
              <w:jc w:val="left"/>
            </w:pPr>
            <w:r>
              <w:rPr>
                <w:b w:val="false"/>
                <w:bCs w:val="false"/>
                <w:color w:val="333333"/>
                <w:sz w:val="18"/>
                <w:szCs w:val="18"/>
              </w:rPr>
              <w:t xml:space="preserve">Locked before WF search</w:t>
            </w:r>
          </w:p>
        </w:tc>
      </w:tr>
      <w:tr>
        <w:tc>
          <w:tcPr>
            <w:tcW w:type="dxa" w:w="2200"/>
            <w:tcBorders>
              <w:top w:val="single" w:color="AACCDD" w:sz="4"/>
              <w:left w:val="single" w:color="AACCDD" w:sz="4"/>
              <w:bottom w:val="single" w:color="AACCDD" w:sz="4"/>
              <w:right w:val="single" w:color="AACCDD" w:sz="4"/>
            </w:tcBorders>
            <w:shd w:fill="FFFFFF" w:val="clear"/>
            <w:tcMar>
              <w:top w:type="dxa" w:w="80"/>
              <w:left w:type="dxa" w:w="120"/>
              <w:bottom w:type="dxa" w:w="80"/>
              <w:right w:type="dxa" w:w="120"/>
            </w:tcMar>
            <w:vAlign w:val="center"/>
          </w:tcPr>
          <w:p>
            <w:pPr>
              <w:spacing w:after="60" w:before="60"/>
              <w:jc w:val="left"/>
            </w:pPr>
            <w:r>
              <w:rPr>
                <w:b w:val="false"/>
                <w:bCs w:val="false"/>
                <w:color w:val="333333"/>
                <w:sz w:val="18"/>
                <w:szCs w:val="18"/>
              </w:rPr>
              <w:t xml:space="preserve">HOLDING_BONUS</w:t>
            </w:r>
          </w:p>
        </w:tc>
        <w:tc>
          <w:tcPr>
            <w:tcW w:type="dxa" w:w="1500"/>
            <w:tcBorders>
              <w:top w:val="single" w:color="AACCDD" w:sz="4"/>
              <w:left w:val="single" w:color="AACCDD" w:sz="4"/>
              <w:bottom w:val="single" w:color="AACCDD" w:sz="4"/>
              <w:right w:val="single" w:color="AACCDD" w:sz="4"/>
            </w:tcBorders>
            <w:shd w:fill="FFFFFF" w:val="clear"/>
            <w:tcMar>
              <w:top w:type="dxa" w:w="80"/>
              <w:left w:type="dxa" w:w="120"/>
              <w:bottom w:type="dxa" w:w="80"/>
              <w:right w:type="dxa" w:w="120"/>
            </w:tcMar>
            <w:vAlign w:val="center"/>
          </w:tcPr>
          <w:p>
            <w:pPr>
              <w:spacing w:after="60" w:before="60"/>
              <w:jc w:val="left"/>
            </w:pPr>
            <w:r>
              <w:rPr>
                <w:b w:val="false"/>
                <w:bCs w:val="false"/>
                <w:color w:val="333333"/>
                <w:sz w:val="18"/>
                <w:szCs w:val="18"/>
              </w:rPr>
              <w:t xml:space="preserve">0.0</w:t>
            </w:r>
          </w:p>
        </w:tc>
        <w:tc>
          <w:tcPr>
            <w:tcW w:type="dxa" w:w="2400"/>
            <w:tcBorders>
              <w:top w:val="single" w:color="AACCDD" w:sz="4"/>
              <w:left w:val="single" w:color="AACCDD" w:sz="4"/>
              <w:bottom w:val="single" w:color="AACCDD" w:sz="4"/>
              <w:right w:val="single" w:color="AACCDD" w:sz="4"/>
            </w:tcBorders>
            <w:shd w:fill="FFFFFF" w:val="clear"/>
            <w:tcMar>
              <w:top w:type="dxa" w:w="80"/>
              <w:left w:type="dxa" w:w="120"/>
              <w:bottom w:type="dxa" w:w="80"/>
              <w:right w:type="dxa" w:w="120"/>
            </w:tcMar>
            <w:vAlign w:val="center"/>
          </w:tcPr>
          <w:p>
            <w:pPr>
              <w:spacing w:after="60" w:before="60"/>
              <w:jc w:val="left"/>
            </w:pPr>
            <w:r>
              <w:rPr>
                <w:b w:val="false"/>
                <w:bCs w:val="false"/>
                <w:color w:val="333333"/>
                <w:sz w:val="18"/>
                <w:szCs w:val="18"/>
              </w:rPr>
              <w:t xml:space="preserve">Walk-Forward</w:t>
            </w:r>
          </w:p>
        </w:tc>
        <w:tc>
          <w:tcPr>
            <w:tcW w:type="dxa" w:w="3980"/>
            <w:tcBorders>
              <w:top w:val="single" w:color="AACCDD" w:sz="4"/>
              <w:left w:val="single" w:color="AACCDD" w:sz="4"/>
              <w:bottom w:val="single" w:color="AACCDD" w:sz="4"/>
              <w:right w:val="single" w:color="AACCDD" w:sz="4"/>
            </w:tcBorders>
            <w:shd w:fill="FFFFFF" w:val="clear"/>
            <w:tcMar>
              <w:top w:type="dxa" w:w="80"/>
              <w:left w:type="dxa" w:w="120"/>
              <w:bottom w:type="dxa" w:w="80"/>
              <w:right w:type="dxa" w:w="120"/>
            </w:tcMar>
            <w:vAlign w:val="center"/>
          </w:tcPr>
          <w:p>
            <w:pPr>
              <w:spacing w:after="60" w:before="60"/>
              <w:jc w:val="left"/>
            </w:pPr>
            <w:r>
              <w:rPr>
                <w:b w:val="false"/>
                <w:bCs w:val="false"/>
                <w:color w:val="333333"/>
                <w:sz w:val="18"/>
                <w:szCs w:val="18"/>
              </w:rPr>
              <w:t xml:space="preserve">5/6 windows selected 0.0</w:t>
            </w:r>
          </w:p>
        </w:tc>
      </w:tr>
      <w:tr>
        <w:tc>
          <w:tcPr>
            <w:tcW w:type="dxa" w:w="2200"/>
            <w:tcBorders>
              <w:top w:val="single" w:color="AACCDD" w:sz="4"/>
              <w:left w:val="single" w:color="AACCDD" w:sz="4"/>
              <w:bottom w:val="single" w:color="AACCDD" w:sz="4"/>
              <w:right w:val="single" w:color="AACCDD" w:sz="4"/>
            </w:tcBorders>
            <w:shd w:fill="EEF5F9" w:val="clear"/>
            <w:tcMar>
              <w:top w:type="dxa" w:w="80"/>
              <w:left w:type="dxa" w:w="120"/>
              <w:bottom w:type="dxa" w:w="80"/>
              <w:right w:type="dxa" w:w="120"/>
            </w:tcMar>
            <w:vAlign w:val="center"/>
          </w:tcPr>
          <w:p>
            <w:pPr>
              <w:spacing w:after="60" w:before="60"/>
              <w:jc w:val="left"/>
            </w:pPr>
            <w:r>
              <w:rPr>
                <w:b w:val="false"/>
                <w:bCs w:val="false"/>
                <w:color w:val="333333"/>
                <w:sz w:val="18"/>
                <w:szCs w:val="18"/>
              </w:rPr>
              <w:t xml:space="preserve">MR RSI_ENTRY</w:t>
            </w:r>
          </w:p>
        </w:tc>
        <w:tc>
          <w:tcPr>
            <w:tcW w:type="dxa" w:w="1500"/>
            <w:tcBorders>
              <w:top w:val="single" w:color="AACCDD" w:sz="4"/>
              <w:left w:val="single" w:color="AACCDD" w:sz="4"/>
              <w:bottom w:val="single" w:color="AACCDD" w:sz="4"/>
              <w:right w:val="single" w:color="AACCDD" w:sz="4"/>
            </w:tcBorders>
            <w:shd w:fill="EEF5F9" w:val="clear"/>
            <w:tcMar>
              <w:top w:type="dxa" w:w="80"/>
              <w:left w:type="dxa" w:w="120"/>
              <w:bottom w:type="dxa" w:w="80"/>
              <w:right w:type="dxa" w:w="120"/>
            </w:tcMar>
            <w:vAlign w:val="center"/>
          </w:tcPr>
          <w:p>
            <w:pPr>
              <w:spacing w:after="60" w:before="60"/>
              <w:jc w:val="left"/>
            </w:pPr>
            <w:r>
              <w:rPr>
                <w:b w:val="false"/>
                <w:bCs w:val="false"/>
                <w:color w:val="333333"/>
                <w:sz w:val="18"/>
                <w:szCs w:val="18"/>
              </w:rPr>
              <w:t xml:space="preserve">28</w:t>
            </w:r>
          </w:p>
        </w:tc>
        <w:tc>
          <w:tcPr>
            <w:tcW w:type="dxa" w:w="2400"/>
            <w:tcBorders>
              <w:top w:val="single" w:color="AACCDD" w:sz="4"/>
              <w:left w:val="single" w:color="AACCDD" w:sz="4"/>
              <w:bottom w:val="single" w:color="AACCDD" w:sz="4"/>
              <w:right w:val="single" w:color="AACCDD" w:sz="4"/>
            </w:tcBorders>
            <w:shd w:fill="EEF5F9" w:val="clear"/>
            <w:tcMar>
              <w:top w:type="dxa" w:w="80"/>
              <w:left w:type="dxa" w:w="120"/>
              <w:bottom w:type="dxa" w:w="80"/>
              <w:right w:type="dxa" w:w="120"/>
            </w:tcMar>
            <w:vAlign w:val="center"/>
          </w:tcPr>
          <w:p>
            <w:pPr>
              <w:spacing w:after="60" w:before="60"/>
              <w:jc w:val="left"/>
            </w:pPr>
            <w:r>
              <w:rPr>
                <w:b w:val="false"/>
                <w:bCs w:val="false"/>
                <w:color w:val="333333"/>
                <w:sz w:val="18"/>
                <w:szCs w:val="18"/>
              </w:rPr>
              <w:t xml:space="preserve">Walk-Forward 5 windows</w:t>
            </w:r>
          </w:p>
        </w:tc>
        <w:tc>
          <w:tcPr>
            <w:tcW w:type="dxa" w:w="3980"/>
            <w:tcBorders>
              <w:top w:val="single" w:color="AACCDD" w:sz="4"/>
              <w:left w:val="single" w:color="AACCDD" w:sz="4"/>
              <w:bottom w:val="single" w:color="AACCDD" w:sz="4"/>
              <w:right w:val="single" w:color="AACCDD" w:sz="4"/>
            </w:tcBorders>
            <w:shd w:fill="EEF5F9" w:val="clear"/>
            <w:tcMar>
              <w:top w:type="dxa" w:w="80"/>
              <w:left w:type="dxa" w:w="120"/>
              <w:bottom w:type="dxa" w:w="80"/>
              <w:right w:type="dxa" w:w="120"/>
            </w:tcMar>
            <w:vAlign w:val="center"/>
          </w:tcPr>
          <w:p>
            <w:pPr>
              <w:spacing w:after="60" w:before="60"/>
              <w:jc w:val="left"/>
            </w:pPr>
            <w:r>
              <w:rPr>
                <w:b w:val="false"/>
                <w:bCs w:val="false"/>
                <w:color w:val="333333"/>
                <w:sz w:val="18"/>
                <w:szCs w:val="18"/>
              </w:rPr>
              <w:t xml:space="preserve">All 5 windows selected RSI=28</w:t>
            </w:r>
          </w:p>
        </w:tc>
      </w:tr>
      <w:tr>
        <w:tc>
          <w:tcPr>
            <w:tcW w:type="dxa" w:w="2200"/>
            <w:tcBorders>
              <w:top w:val="single" w:color="AACCDD" w:sz="4"/>
              <w:left w:val="single" w:color="AACCDD" w:sz="4"/>
              <w:bottom w:val="single" w:color="AACCDD" w:sz="4"/>
              <w:right w:val="single" w:color="AACCDD" w:sz="4"/>
            </w:tcBorders>
            <w:shd w:fill="FFFFFF" w:val="clear"/>
            <w:tcMar>
              <w:top w:type="dxa" w:w="80"/>
              <w:left w:type="dxa" w:w="120"/>
              <w:bottom w:type="dxa" w:w="80"/>
              <w:right w:type="dxa" w:w="120"/>
            </w:tcMar>
            <w:vAlign w:val="center"/>
          </w:tcPr>
          <w:p>
            <w:pPr>
              <w:spacing w:after="60" w:before="60"/>
              <w:jc w:val="left"/>
            </w:pPr>
            <w:r>
              <w:rPr>
                <w:b w:val="false"/>
                <w:bCs w:val="false"/>
                <w:color w:val="333333"/>
                <w:sz w:val="18"/>
                <w:szCs w:val="18"/>
              </w:rPr>
              <w:t xml:space="preserve">MR BB_THRESHOLD</w:t>
            </w:r>
          </w:p>
        </w:tc>
        <w:tc>
          <w:tcPr>
            <w:tcW w:type="dxa" w:w="1500"/>
            <w:tcBorders>
              <w:top w:val="single" w:color="AACCDD" w:sz="4"/>
              <w:left w:val="single" w:color="AACCDD" w:sz="4"/>
              <w:bottom w:val="single" w:color="AACCDD" w:sz="4"/>
              <w:right w:val="single" w:color="AACCDD" w:sz="4"/>
            </w:tcBorders>
            <w:shd w:fill="FFFFFF" w:val="clear"/>
            <w:tcMar>
              <w:top w:type="dxa" w:w="80"/>
              <w:left w:type="dxa" w:w="120"/>
              <w:bottom w:type="dxa" w:w="80"/>
              <w:right w:type="dxa" w:w="120"/>
            </w:tcMar>
            <w:vAlign w:val="center"/>
          </w:tcPr>
          <w:p>
            <w:pPr>
              <w:spacing w:after="60" w:before="60"/>
              <w:jc w:val="left"/>
            </w:pPr>
            <w:r>
              <w:rPr>
                <w:b w:val="false"/>
                <w:bCs w:val="false"/>
                <w:color w:val="333333"/>
                <w:sz w:val="18"/>
                <w:szCs w:val="18"/>
              </w:rPr>
              <w:t xml:space="preserve">0.05</w:t>
            </w:r>
          </w:p>
        </w:tc>
        <w:tc>
          <w:tcPr>
            <w:tcW w:type="dxa" w:w="2400"/>
            <w:tcBorders>
              <w:top w:val="single" w:color="AACCDD" w:sz="4"/>
              <w:left w:val="single" w:color="AACCDD" w:sz="4"/>
              <w:bottom w:val="single" w:color="AACCDD" w:sz="4"/>
              <w:right w:val="single" w:color="AACCDD" w:sz="4"/>
            </w:tcBorders>
            <w:shd w:fill="FFFFFF" w:val="clear"/>
            <w:tcMar>
              <w:top w:type="dxa" w:w="80"/>
              <w:left w:type="dxa" w:w="120"/>
              <w:bottom w:type="dxa" w:w="80"/>
              <w:right w:type="dxa" w:w="120"/>
            </w:tcMar>
            <w:vAlign w:val="center"/>
          </w:tcPr>
          <w:p>
            <w:pPr>
              <w:spacing w:after="60" w:before="60"/>
              <w:jc w:val="left"/>
            </w:pPr>
            <w:r>
              <w:rPr>
                <w:b w:val="false"/>
                <w:bCs w:val="false"/>
                <w:color w:val="333333"/>
                <w:sz w:val="18"/>
                <w:szCs w:val="18"/>
              </w:rPr>
              <w:t xml:space="preserve">Fixed</w:t>
            </w:r>
          </w:p>
        </w:tc>
        <w:tc>
          <w:tcPr>
            <w:tcW w:type="dxa" w:w="3980"/>
            <w:tcBorders>
              <w:top w:val="single" w:color="AACCDD" w:sz="4"/>
              <w:left w:val="single" w:color="AACCDD" w:sz="4"/>
              <w:bottom w:val="single" w:color="AACCDD" w:sz="4"/>
              <w:right w:val="single" w:color="AACCDD" w:sz="4"/>
            </w:tcBorders>
            <w:shd w:fill="FFFFFF" w:val="clear"/>
            <w:tcMar>
              <w:top w:type="dxa" w:w="80"/>
              <w:left w:type="dxa" w:w="120"/>
              <w:bottom w:type="dxa" w:w="80"/>
              <w:right w:type="dxa" w:w="120"/>
            </w:tcMar>
            <w:vAlign w:val="center"/>
          </w:tcPr>
          <w:p>
            <w:pPr>
              <w:spacing w:after="60" w:before="60"/>
              <w:jc w:val="left"/>
            </w:pPr>
            <w:r>
              <w:rPr>
                <w:b w:val="false"/>
                <w:bCs w:val="false"/>
                <w:color w:val="333333"/>
                <w:sz w:val="18"/>
                <w:szCs w:val="18"/>
              </w:rPr>
              <w:t xml:space="preserve">Near lower Bollinger Band</w:t>
            </w:r>
          </w:p>
        </w:tc>
      </w:tr>
      <w:tr>
        <w:tc>
          <w:tcPr>
            <w:tcW w:type="dxa" w:w="2200"/>
            <w:tcBorders>
              <w:top w:val="single" w:color="AACCDD" w:sz="4"/>
              <w:left w:val="single" w:color="AACCDD" w:sz="4"/>
              <w:bottom w:val="single" w:color="AACCDD" w:sz="4"/>
              <w:right w:val="single" w:color="AACCDD" w:sz="4"/>
            </w:tcBorders>
            <w:shd w:fill="EEF5F9" w:val="clear"/>
            <w:tcMar>
              <w:top w:type="dxa" w:w="80"/>
              <w:left w:type="dxa" w:w="120"/>
              <w:bottom w:type="dxa" w:w="80"/>
              <w:right w:type="dxa" w:w="120"/>
            </w:tcMar>
            <w:vAlign w:val="center"/>
          </w:tcPr>
          <w:p>
            <w:pPr>
              <w:spacing w:after="60" w:before="60"/>
              <w:jc w:val="left"/>
            </w:pPr>
            <w:r>
              <w:rPr>
                <w:b w:val="false"/>
                <w:bCs w:val="false"/>
                <w:color w:val="333333"/>
                <w:sz w:val="18"/>
                <w:szCs w:val="18"/>
              </w:rPr>
              <w:t xml:space="preserve">MR ATR_STOP</w:t>
            </w:r>
          </w:p>
        </w:tc>
        <w:tc>
          <w:tcPr>
            <w:tcW w:type="dxa" w:w="1500"/>
            <w:tcBorders>
              <w:top w:val="single" w:color="AACCDD" w:sz="4"/>
              <w:left w:val="single" w:color="AACCDD" w:sz="4"/>
              <w:bottom w:val="single" w:color="AACCDD" w:sz="4"/>
              <w:right w:val="single" w:color="AACCDD" w:sz="4"/>
            </w:tcBorders>
            <w:shd w:fill="EEF5F9" w:val="clear"/>
            <w:tcMar>
              <w:top w:type="dxa" w:w="80"/>
              <w:left w:type="dxa" w:w="120"/>
              <w:bottom w:type="dxa" w:w="80"/>
              <w:right w:type="dxa" w:w="120"/>
            </w:tcMar>
            <w:vAlign w:val="center"/>
          </w:tcPr>
          <w:p>
            <w:pPr>
              <w:spacing w:after="60" w:before="60"/>
              <w:jc w:val="left"/>
            </w:pPr>
            <w:r>
              <w:rPr>
                <w:b w:val="false"/>
                <w:bCs w:val="false"/>
                <w:color w:val="333333"/>
                <w:sz w:val="18"/>
                <w:szCs w:val="18"/>
              </w:rPr>
              <w:t xml:space="preserve">2.0×</w:t>
            </w:r>
          </w:p>
        </w:tc>
        <w:tc>
          <w:tcPr>
            <w:tcW w:type="dxa" w:w="2400"/>
            <w:tcBorders>
              <w:top w:val="single" w:color="AACCDD" w:sz="4"/>
              <w:left w:val="single" w:color="AACCDD" w:sz="4"/>
              <w:bottom w:val="single" w:color="AACCDD" w:sz="4"/>
              <w:right w:val="single" w:color="AACCDD" w:sz="4"/>
            </w:tcBorders>
            <w:shd w:fill="EEF5F9" w:val="clear"/>
            <w:tcMar>
              <w:top w:type="dxa" w:w="80"/>
              <w:left w:type="dxa" w:w="120"/>
              <w:bottom w:type="dxa" w:w="80"/>
              <w:right w:type="dxa" w:w="120"/>
            </w:tcMar>
            <w:vAlign w:val="center"/>
          </w:tcPr>
          <w:p>
            <w:pPr>
              <w:spacing w:after="60" w:before="60"/>
              <w:jc w:val="left"/>
            </w:pPr>
            <w:r>
              <w:rPr>
                <w:b w:val="false"/>
                <w:bCs w:val="false"/>
                <w:color w:val="333333"/>
                <w:sz w:val="18"/>
                <w:szCs w:val="18"/>
              </w:rPr>
              <w:t xml:space="preserve">Fixed</w:t>
            </w:r>
          </w:p>
        </w:tc>
        <w:tc>
          <w:tcPr>
            <w:tcW w:type="dxa" w:w="3980"/>
            <w:tcBorders>
              <w:top w:val="single" w:color="AACCDD" w:sz="4"/>
              <w:left w:val="single" w:color="AACCDD" w:sz="4"/>
              <w:bottom w:val="single" w:color="AACCDD" w:sz="4"/>
              <w:right w:val="single" w:color="AACCDD" w:sz="4"/>
            </w:tcBorders>
            <w:shd w:fill="EEF5F9" w:val="clear"/>
            <w:tcMar>
              <w:top w:type="dxa" w:w="80"/>
              <w:left w:type="dxa" w:w="120"/>
              <w:bottom w:type="dxa" w:w="80"/>
              <w:right w:type="dxa" w:w="120"/>
            </w:tcMar>
            <w:vAlign w:val="center"/>
          </w:tcPr>
          <w:p>
            <w:pPr>
              <w:spacing w:after="60" w:before="60"/>
              <w:jc w:val="left"/>
            </w:pPr>
            <w:r>
              <w:rPr>
                <w:b w:val="false"/>
                <w:bCs w:val="false"/>
                <w:color w:val="333333"/>
                <w:sz w:val="18"/>
                <w:szCs w:val="18"/>
              </w:rPr>
              <w:t xml:space="preserve">Wider stop for counter-trend</w:t>
            </w:r>
          </w:p>
        </w:tc>
      </w:tr>
      <w:tr>
        <w:tc>
          <w:tcPr>
            <w:tcW w:type="dxa" w:w="2200"/>
            <w:tcBorders>
              <w:top w:val="single" w:color="AACCDD" w:sz="4"/>
              <w:left w:val="single" w:color="AACCDD" w:sz="4"/>
              <w:bottom w:val="single" w:color="AACCDD" w:sz="4"/>
              <w:right w:val="single" w:color="AACCDD" w:sz="4"/>
            </w:tcBorders>
            <w:shd w:fill="FFFFFF" w:val="clear"/>
            <w:tcMar>
              <w:top w:type="dxa" w:w="80"/>
              <w:left w:type="dxa" w:w="120"/>
              <w:bottom w:type="dxa" w:w="80"/>
              <w:right w:type="dxa" w:w="120"/>
            </w:tcMar>
            <w:vAlign w:val="center"/>
          </w:tcPr>
          <w:p>
            <w:pPr>
              <w:spacing w:after="60" w:before="60"/>
              <w:jc w:val="left"/>
            </w:pPr>
            <w:r>
              <w:rPr>
                <w:b w:val="false"/>
                <w:bCs w:val="false"/>
                <w:color w:val="333333"/>
                <w:sz w:val="18"/>
                <w:szCs w:val="18"/>
              </w:rPr>
              <w:t xml:space="preserve">MR MAX_HOLD</w:t>
            </w:r>
          </w:p>
        </w:tc>
        <w:tc>
          <w:tcPr>
            <w:tcW w:type="dxa" w:w="1500"/>
            <w:tcBorders>
              <w:top w:val="single" w:color="AACCDD" w:sz="4"/>
              <w:left w:val="single" w:color="AACCDD" w:sz="4"/>
              <w:bottom w:val="single" w:color="AACCDD" w:sz="4"/>
              <w:right w:val="single" w:color="AACCDD" w:sz="4"/>
            </w:tcBorders>
            <w:shd w:fill="FFFFFF" w:val="clear"/>
            <w:tcMar>
              <w:top w:type="dxa" w:w="80"/>
              <w:left w:type="dxa" w:w="120"/>
              <w:bottom w:type="dxa" w:w="80"/>
              <w:right w:type="dxa" w:w="120"/>
            </w:tcMar>
            <w:vAlign w:val="center"/>
          </w:tcPr>
          <w:p>
            <w:pPr>
              <w:spacing w:after="60" w:before="60"/>
              <w:jc w:val="left"/>
            </w:pPr>
            <w:r>
              <w:rPr>
                <w:b w:val="false"/>
                <w:bCs w:val="false"/>
                <w:color w:val="333333"/>
                <w:sz w:val="18"/>
                <w:szCs w:val="18"/>
              </w:rPr>
              <w:t xml:space="preserve">8 days</w:t>
            </w:r>
          </w:p>
        </w:tc>
        <w:tc>
          <w:tcPr>
            <w:tcW w:type="dxa" w:w="2400"/>
            <w:tcBorders>
              <w:top w:val="single" w:color="AACCDD" w:sz="4"/>
              <w:left w:val="single" w:color="AACCDD" w:sz="4"/>
              <w:bottom w:val="single" w:color="AACCDD" w:sz="4"/>
              <w:right w:val="single" w:color="AACCDD" w:sz="4"/>
            </w:tcBorders>
            <w:shd w:fill="FFFFFF" w:val="clear"/>
            <w:tcMar>
              <w:top w:type="dxa" w:w="80"/>
              <w:left w:type="dxa" w:w="120"/>
              <w:bottom w:type="dxa" w:w="80"/>
              <w:right w:type="dxa" w:w="120"/>
            </w:tcMar>
            <w:vAlign w:val="center"/>
          </w:tcPr>
          <w:p>
            <w:pPr>
              <w:spacing w:after="60" w:before="60"/>
              <w:jc w:val="left"/>
            </w:pPr>
            <w:r>
              <w:rPr>
                <w:b w:val="false"/>
                <w:bCs w:val="false"/>
                <w:color w:val="333333"/>
                <w:sz w:val="18"/>
                <w:szCs w:val="18"/>
              </w:rPr>
              <w:t xml:space="preserve">Fixed</w:t>
            </w:r>
          </w:p>
        </w:tc>
        <w:tc>
          <w:tcPr>
            <w:tcW w:type="dxa" w:w="3980"/>
            <w:tcBorders>
              <w:top w:val="single" w:color="AACCDD" w:sz="4"/>
              <w:left w:val="single" w:color="AACCDD" w:sz="4"/>
              <w:bottom w:val="single" w:color="AACCDD" w:sz="4"/>
              <w:right w:val="single" w:color="AACCDD" w:sz="4"/>
            </w:tcBorders>
            <w:shd w:fill="FFFFFF" w:val="clear"/>
            <w:tcMar>
              <w:top w:type="dxa" w:w="80"/>
              <w:left w:type="dxa" w:w="120"/>
              <w:bottom w:type="dxa" w:w="80"/>
              <w:right w:type="dxa" w:w="120"/>
            </w:tcMar>
            <w:vAlign w:val="center"/>
          </w:tcPr>
          <w:p>
            <w:pPr>
              <w:spacing w:after="60" w:before="60"/>
              <w:jc w:val="left"/>
            </w:pPr>
            <w:r>
              <w:rPr>
                <w:b w:val="false"/>
                <w:bCs w:val="false"/>
                <w:color w:val="333333"/>
                <w:sz w:val="18"/>
                <w:szCs w:val="18"/>
              </w:rPr>
              <w:t xml:space="preserve">Time-based exit discipline</w:t>
            </w:r>
          </w:p>
        </w:tc>
      </w:tr>
      <w:tr>
        <w:tc>
          <w:tcPr>
            <w:tcW w:type="dxa" w:w="2200"/>
            <w:tcBorders>
              <w:top w:val="single" w:color="AACCDD" w:sz="4"/>
              <w:left w:val="single" w:color="AACCDD" w:sz="4"/>
              <w:bottom w:val="single" w:color="AACCDD" w:sz="4"/>
              <w:right w:val="single" w:color="AACCDD" w:sz="4"/>
            </w:tcBorders>
            <w:shd w:fill="EEF5F9" w:val="clear"/>
            <w:tcMar>
              <w:top w:type="dxa" w:w="80"/>
              <w:left w:type="dxa" w:w="120"/>
              <w:bottom w:type="dxa" w:w="80"/>
              <w:right w:type="dxa" w:w="120"/>
            </w:tcMar>
            <w:vAlign w:val="center"/>
          </w:tcPr>
          <w:p>
            <w:pPr>
              <w:spacing w:after="60" w:before="60"/>
              <w:jc w:val="left"/>
            </w:pPr>
            <w:r>
              <w:rPr>
                <w:b w:val="false"/>
                <w:bCs w:val="false"/>
                <w:color w:val="333333"/>
                <w:sz w:val="18"/>
                <w:szCs w:val="18"/>
              </w:rPr>
              <w:t xml:space="preserve">ED MIN_BEAT_RATE</w:t>
            </w:r>
          </w:p>
        </w:tc>
        <w:tc>
          <w:tcPr>
            <w:tcW w:type="dxa" w:w="1500"/>
            <w:tcBorders>
              <w:top w:val="single" w:color="AACCDD" w:sz="4"/>
              <w:left w:val="single" w:color="AACCDD" w:sz="4"/>
              <w:bottom w:val="single" w:color="AACCDD" w:sz="4"/>
              <w:right w:val="single" w:color="AACCDD" w:sz="4"/>
            </w:tcBorders>
            <w:shd w:fill="EEF5F9" w:val="clear"/>
            <w:tcMar>
              <w:top w:type="dxa" w:w="80"/>
              <w:left w:type="dxa" w:w="120"/>
              <w:bottom w:type="dxa" w:w="80"/>
              <w:right w:type="dxa" w:w="120"/>
            </w:tcMar>
            <w:vAlign w:val="center"/>
          </w:tcPr>
          <w:p>
            <w:pPr>
              <w:spacing w:after="60" w:before="60"/>
              <w:jc w:val="left"/>
            </w:pPr>
            <w:r>
              <w:rPr>
                <w:b w:val="false"/>
                <w:bCs w:val="false"/>
                <w:color w:val="333333"/>
                <w:sz w:val="18"/>
                <w:szCs w:val="18"/>
              </w:rPr>
              <w:t xml:space="preserve">60%</w:t>
            </w:r>
          </w:p>
        </w:tc>
        <w:tc>
          <w:tcPr>
            <w:tcW w:type="dxa" w:w="2400"/>
            <w:tcBorders>
              <w:top w:val="single" w:color="AACCDD" w:sz="4"/>
              <w:left w:val="single" w:color="AACCDD" w:sz="4"/>
              <w:bottom w:val="single" w:color="AACCDD" w:sz="4"/>
              <w:right w:val="single" w:color="AACCDD" w:sz="4"/>
            </w:tcBorders>
            <w:shd w:fill="EEF5F9" w:val="clear"/>
            <w:tcMar>
              <w:top w:type="dxa" w:w="80"/>
              <w:left w:type="dxa" w:w="120"/>
              <w:bottom w:type="dxa" w:w="80"/>
              <w:right w:type="dxa" w:w="120"/>
            </w:tcMar>
            <w:vAlign w:val="center"/>
          </w:tcPr>
          <w:p>
            <w:pPr>
              <w:spacing w:after="60" w:before="60"/>
              <w:jc w:val="left"/>
            </w:pPr>
            <w:r>
              <w:rPr>
                <w:b w:val="false"/>
                <w:bCs w:val="false"/>
                <w:color w:val="333333"/>
                <w:sz w:val="18"/>
                <w:szCs w:val="18"/>
              </w:rPr>
              <w:t xml:space="preserve">Walk-Forward 5 windows</w:t>
            </w:r>
          </w:p>
        </w:tc>
        <w:tc>
          <w:tcPr>
            <w:tcW w:type="dxa" w:w="3980"/>
            <w:tcBorders>
              <w:top w:val="single" w:color="AACCDD" w:sz="4"/>
              <w:left w:val="single" w:color="AACCDD" w:sz="4"/>
              <w:bottom w:val="single" w:color="AACCDD" w:sz="4"/>
              <w:right w:val="single" w:color="AACCDD" w:sz="4"/>
            </w:tcBorders>
            <w:shd w:fill="EEF5F9" w:val="clear"/>
            <w:tcMar>
              <w:top w:type="dxa" w:w="80"/>
              <w:left w:type="dxa" w:w="120"/>
              <w:bottom w:type="dxa" w:w="80"/>
              <w:right w:type="dxa" w:w="120"/>
            </w:tcMar>
            <w:vAlign w:val="center"/>
          </w:tcPr>
          <w:p>
            <w:pPr>
              <w:spacing w:after="60" w:before="60"/>
              <w:jc w:val="left"/>
            </w:pPr>
            <w:r>
              <w:rPr>
                <w:b w:val="false"/>
                <w:bCs w:val="false"/>
                <w:color w:val="333333"/>
                <w:sz w:val="18"/>
                <w:szCs w:val="18"/>
              </w:rPr>
              <w:t xml:space="preserve">All 5 windows selected 0.60</w:t>
            </w:r>
          </w:p>
        </w:tc>
      </w:tr>
      <w:tr>
        <w:tc>
          <w:tcPr>
            <w:tcW w:type="dxa" w:w="2200"/>
            <w:tcBorders>
              <w:top w:val="single" w:color="AACCDD" w:sz="4"/>
              <w:left w:val="single" w:color="AACCDD" w:sz="4"/>
              <w:bottom w:val="single" w:color="AACCDD" w:sz="4"/>
              <w:right w:val="single" w:color="AACCDD" w:sz="4"/>
            </w:tcBorders>
            <w:shd w:fill="FFFFFF" w:val="clear"/>
            <w:tcMar>
              <w:top w:type="dxa" w:w="80"/>
              <w:left w:type="dxa" w:w="120"/>
              <w:bottom w:type="dxa" w:w="80"/>
              <w:right w:type="dxa" w:w="120"/>
            </w:tcMar>
            <w:vAlign w:val="center"/>
          </w:tcPr>
          <w:p>
            <w:pPr>
              <w:spacing w:after="60" w:before="60"/>
              <w:jc w:val="left"/>
            </w:pPr>
            <w:r>
              <w:rPr>
                <w:b w:val="false"/>
                <w:bCs w:val="false"/>
                <w:color w:val="333333"/>
                <w:sz w:val="18"/>
                <w:szCs w:val="18"/>
              </w:rPr>
              <w:t xml:space="preserve">ED ENTRY_WINDOW</w:t>
            </w:r>
          </w:p>
        </w:tc>
        <w:tc>
          <w:tcPr>
            <w:tcW w:type="dxa" w:w="1500"/>
            <w:tcBorders>
              <w:top w:val="single" w:color="AACCDD" w:sz="4"/>
              <w:left w:val="single" w:color="AACCDD" w:sz="4"/>
              <w:bottom w:val="single" w:color="AACCDD" w:sz="4"/>
              <w:right w:val="single" w:color="AACCDD" w:sz="4"/>
            </w:tcBorders>
            <w:shd w:fill="FFFFFF" w:val="clear"/>
            <w:tcMar>
              <w:top w:type="dxa" w:w="80"/>
              <w:left w:type="dxa" w:w="120"/>
              <w:bottom w:type="dxa" w:w="80"/>
              <w:right w:type="dxa" w:w="120"/>
            </w:tcMar>
            <w:vAlign w:val="center"/>
          </w:tcPr>
          <w:p>
            <w:pPr>
              <w:spacing w:after="60" w:before="60"/>
              <w:jc w:val="left"/>
            </w:pPr>
            <w:r>
              <w:rPr>
                <w:b w:val="false"/>
                <w:bCs w:val="false"/>
                <w:color w:val="333333"/>
                <w:sz w:val="18"/>
                <w:szCs w:val="18"/>
              </w:rPr>
              <w:t xml:space="preserve">3 days</w:t>
            </w:r>
          </w:p>
        </w:tc>
        <w:tc>
          <w:tcPr>
            <w:tcW w:type="dxa" w:w="2400"/>
            <w:tcBorders>
              <w:top w:val="single" w:color="AACCDD" w:sz="4"/>
              <w:left w:val="single" w:color="AACCDD" w:sz="4"/>
              <w:bottom w:val="single" w:color="AACCDD" w:sz="4"/>
              <w:right w:val="single" w:color="AACCDD" w:sz="4"/>
            </w:tcBorders>
            <w:shd w:fill="FFFFFF" w:val="clear"/>
            <w:tcMar>
              <w:top w:type="dxa" w:w="80"/>
              <w:left w:type="dxa" w:w="120"/>
              <w:bottom w:type="dxa" w:w="80"/>
              <w:right w:type="dxa" w:w="120"/>
            </w:tcMar>
            <w:vAlign w:val="center"/>
          </w:tcPr>
          <w:p>
            <w:pPr>
              <w:spacing w:after="60" w:before="60"/>
              <w:jc w:val="left"/>
            </w:pPr>
            <w:r>
              <w:rPr>
                <w:b w:val="false"/>
                <w:bCs w:val="false"/>
                <w:color w:val="333333"/>
                <w:sz w:val="18"/>
                <w:szCs w:val="18"/>
              </w:rPr>
              <w:t xml:space="preserve">Fixed</w:t>
            </w:r>
          </w:p>
        </w:tc>
        <w:tc>
          <w:tcPr>
            <w:tcW w:type="dxa" w:w="3980"/>
            <w:tcBorders>
              <w:top w:val="single" w:color="AACCDD" w:sz="4"/>
              <w:left w:val="single" w:color="AACCDD" w:sz="4"/>
              <w:bottom w:val="single" w:color="AACCDD" w:sz="4"/>
              <w:right w:val="single" w:color="AACCDD" w:sz="4"/>
            </w:tcBorders>
            <w:shd w:fill="FFFFFF" w:val="clear"/>
            <w:tcMar>
              <w:top w:type="dxa" w:w="80"/>
              <w:left w:type="dxa" w:w="120"/>
              <w:bottom w:type="dxa" w:w="80"/>
              <w:right w:type="dxa" w:w="120"/>
            </w:tcMar>
            <w:vAlign w:val="center"/>
          </w:tcPr>
          <w:p>
            <w:pPr>
              <w:spacing w:after="60" w:before="60"/>
              <w:jc w:val="left"/>
            </w:pPr>
            <w:r>
              <w:rPr>
                <w:b w:val="false"/>
                <w:bCs w:val="false"/>
                <w:color w:val="333333"/>
                <w:sz w:val="18"/>
                <w:szCs w:val="18"/>
              </w:rPr>
              <w:t xml:space="preserve">Pre-earnings window</w:t>
            </w:r>
          </w:p>
        </w:tc>
      </w:tr>
      <w:tr>
        <w:tc>
          <w:tcPr>
            <w:tcW w:type="dxa" w:w="2200"/>
            <w:tcBorders>
              <w:top w:val="single" w:color="AACCDD" w:sz="4"/>
              <w:left w:val="single" w:color="AACCDD" w:sz="4"/>
              <w:bottom w:val="single" w:color="AACCDD" w:sz="4"/>
              <w:right w:val="single" w:color="AACCDD" w:sz="4"/>
            </w:tcBorders>
            <w:shd w:fill="EEF5F9" w:val="clear"/>
            <w:tcMar>
              <w:top w:type="dxa" w:w="80"/>
              <w:left w:type="dxa" w:w="120"/>
              <w:bottom w:type="dxa" w:w="80"/>
              <w:right w:type="dxa" w:w="120"/>
            </w:tcMar>
            <w:vAlign w:val="center"/>
          </w:tcPr>
          <w:p>
            <w:pPr>
              <w:spacing w:after="60" w:before="60"/>
              <w:jc w:val="left"/>
            </w:pPr>
            <w:r>
              <w:rPr>
                <w:b w:val="false"/>
                <w:bCs w:val="false"/>
                <w:color w:val="333333"/>
                <w:sz w:val="18"/>
                <w:szCs w:val="18"/>
              </w:rPr>
              <w:t xml:space="preserve">Slippage</w:t>
            </w:r>
          </w:p>
        </w:tc>
        <w:tc>
          <w:tcPr>
            <w:tcW w:type="dxa" w:w="1500"/>
            <w:tcBorders>
              <w:top w:val="single" w:color="AACCDD" w:sz="4"/>
              <w:left w:val="single" w:color="AACCDD" w:sz="4"/>
              <w:bottom w:val="single" w:color="AACCDD" w:sz="4"/>
              <w:right w:val="single" w:color="AACCDD" w:sz="4"/>
            </w:tcBorders>
            <w:shd w:fill="EEF5F9" w:val="clear"/>
            <w:tcMar>
              <w:top w:type="dxa" w:w="80"/>
              <w:left w:type="dxa" w:w="120"/>
              <w:bottom w:type="dxa" w:w="80"/>
              <w:right w:type="dxa" w:w="120"/>
            </w:tcMar>
            <w:vAlign w:val="center"/>
          </w:tcPr>
          <w:p>
            <w:pPr>
              <w:spacing w:after="60" w:before="60"/>
              <w:jc w:val="left"/>
            </w:pPr>
            <w:r>
              <w:rPr>
                <w:b w:val="false"/>
                <w:bCs w:val="false"/>
                <w:color w:val="333333"/>
                <w:sz w:val="18"/>
                <w:szCs w:val="18"/>
              </w:rPr>
              <w:t xml:space="preserve">0.1% per side</w:t>
            </w:r>
          </w:p>
        </w:tc>
        <w:tc>
          <w:tcPr>
            <w:tcW w:type="dxa" w:w="2400"/>
            <w:tcBorders>
              <w:top w:val="single" w:color="AACCDD" w:sz="4"/>
              <w:left w:val="single" w:color="AACCDD" w:sz="4"/>
              <w:bottom w:val="single" w:color="AACCDD" w:sz="4"/>
              <w:right w:val="single" w:color="AACCDD" w:sz="4"/>
            </w:tcBorders>
            <w:shd w:fill="EEF5F9" w:val="clear"/>
            <w:tcMar>
              <w:top w:type="dxa" w:w="80"/>
              <w:left w:type="dxa" w:w="120"/>
              <w:bottom w:type="dxa" w:w="80"/>
              <w:right w:type="dxa" w:w="120"/>
            </w:tcMar>
            <w:vAlign w:val="center"/>
          </w:tcPr>
          <w:p>
            <w:pPr>
              <w:spacing w:after="60" w:before="60"/>
              <w:jc w:val="left"/>
            </w:pPr>
            <w:r>
              <w:rPr>
                <w:b w:val="false"/>
                <w:bCs w:val="false"/>
                <w:color w:val="333333"/>
                <w:sz w:val="18"/>
                <w:szCs w:val="18"/>
              </w:rPr>
              <w:t xml:space="preserve">Conservative estimate</w:t>
            </w:r>
          </w:p>
        </w:tc>
        <w:tc>
          <w:tcPr>
            <w:tcW w:type="dxa" w:w="3980"/>
            <w:tcBorders>
              <w:top w:val="single" w:color="AACCDD" w:sz="4"/>
              <w:left w:val="single" w:color="AACCDD" w:sz="4"/>
              <w:bottom w:val="single" w:color="AACCDD" w:sz="4"/>
              <w:right w:val="single" w:color="AACCDD" w:sz="4"/>
            </w:tcBorders>
            <w:shd w:fill="EEF5F9" w:val="clear"/>
            <w:tcMar>
              <w:top w:type="dxa" w:w="80"/>
              <w:left w:type="dxa" w:w="120"/>
              <w:bottom w:type="dxa" w:w="80"/>
              <w:right w:type="dxa" w:w="120"/>
            </w:tcMar>
            <w:vAlign w:val="center"/>
          </w:tcPr>
          <w:p>
            <w:pPr>
              <w:spacing w:after="60" w:before="60"/>
              <w:jc w:val="left"/>
            </w:pPr>
            <w:r>
              <w:rPr>
                <w:b w:val="false"/>
                <w:bCs w:val="false"/>
                <w:color w:val="333333"/>
                <w:sz w:val="18"/>
                <w:szCs w:val="18"/>
              </w:rPr>
              <w:t xml:space="preserve">Both entry and exit</w:t>
            </w:r>
          </w:p>
        </w:tc>
      </w:tr>
      <w:tr>
        <w:tc>
          <w:tcPr>
            <w:tcW w:type="dxa" w:w="2200"/>
            <w:tcBorders>
              <w:top w:val="single" w:color="AACCDD" w:sz="4"/>
              <w:left w:val="single" w:color="AACCDD" w:sz="4"/>
              <w:bottom w:val="single" w:color="AACCDD" w:sz="4"/>
              <w:right w:val="single" w:color="AACCDD" w:sz="4"/>
            </w:tcBorders>
            <w:shd w:fill="FFFFFF" w:val="clear"/>
            <w:tcMar>
              <w:top w:type="dxa" w:w="80"/>
              <w:left w:type="dxa" w:w="120"/>
              <w:bottom w:type="dxa" w:w="80"/>
              <w:right w:type="dxa" w:w="120"/>
            </w:tcMar>
            <w:vAlign w:val="center"/>
          </w:tcPr>
          <w:p>
            <w:pPr>
              <w:spacing w:after="60" w:before="60"/>
              <w:jc w:val="left"/>
            </w:pPr>
            <w:r>
              <w:rPr>
                <w:b w:val="false"/>
                <w:bCs w:val="false"/>
                <w:color w:val="333333"/>
                <w:sz w:val="18"/>
                <w:szCs w:val="18"/>
              </w:rPr>
              <w:t xml:space="preserve">Liquidity Filter</w:t>
            </w:r>
          </w:p>
        </w:tc>
        <w:tc>
          <w:tcPr>
            <w:tcW w:type="dxa" w:w="1500"/>
            <w:tcBorders>
              <w:top w:val="single" w:color="AACCDD" w:sz="4"/>
              <w:left w:val="single" w:color="AACCDD" w:sz="4"/>
              <w:bottom w:val="single" w:color="AACCDD" w:sz="4"/>
              <w:right w:val="single" w:color="AACCDD" w:sz="4"/>
            </w:tcBorders>
            <w:shd w:fill="FFFFFF" w:val="clear"/>
            <w:tcMar>
              <w:top w:type="dxa" w:w="80"/>
              <w:left w:type="dxa" w:w="120"/>
              <w:bottom w:type="dxa" w:w="80"/>
              <w:right w:type="dxa" w:w="120"/>
            </w:tcMar>
            <w:vAlign w:val="center"/>
          </w:tcPr>
          <w:p>
            <w:pPr>
              <w:spacing w:after="60" w:before="60"/>
              <w:jc w:val="left"/>
            </w:pPr>
            <w:r>
              <w:rPr>
                <w:b w:val="false"/>
                <w:bCs w:val="false"/>
                <w:color w:val="333333"/>
                <w:sz w:val="18"/>
                <w:szCs w:val="18"/>
              </w:rPr>
              <w:t xml:space="preserve">500K avg vol</w:t>
            </w:r>
          </w:p>
        </w:tc>
        <w:tc>
          <w:tcPr>
            <w:tcW w:type="dxa" w:w="2400"/>
            <w:tcBorders>
              <w:top w:val="single" w:color="AACCDD" w:sz="4"/>
              <w:left w:val="single" w:color="AACCDD" w:sz="4"/>
              <w:bottom w:val="single" w:color="AACCDD" w:sz="4"/>
              <w:right w:val="single" w:color="AACCDD" w:sz="4"/>
            </w:tcBorders>
            <w:shd w:fill="FFFFFF" w:val="clear"/>
            <w:tcMar>
              <w:top w:type="dxa" w:w="80"/>
              <w:left w:type="dxa" w:w="120"/>
              <w:bottom w:type="dxa" w:w="80"/>
              <w:right w:type="dxa" w:w="120"/>
            </w:tcMar>
            <w:vAlign w:val="center"/>
          </w:tcPr>
          <w:p>
            <w:pPr>
              <w:spacing w:after="60" w:before="60"/>
              <w:jc w:val="left"/>
            </w:pPr>
            <w:r>
              <w:rPr>
                <w:b w:val="false"/>
                <w:bCs w:val="false"/>
                <w:color w:val="333333"/>
                <w:sz w:val="18"/>
                <w:szCs w:val="18"/>
              </w:rPr>
              <w:t xml:space="preserve">Fixed</w:t>
            </w:r>
          </w:p>
        </w:tc>
        <w:tc>
          <w:tcPr>
            <w:tcW w:type="dxa" w:w="3980"/>
            <w:tcBorders>
              <w:top w:val="single" w:color="AACCDD" w:sz="4"/>
              <w:left w:val="single" w:color="AACCDD" w:sz="4"/>
              <w:bottom w:val="single" w:color="AACCDD" w:sz="4"/>
              <w:right w:val="single" w:color="AACCDD" w:sz="4"/>
            </w:tcBorders>
            <w:shd w:fill="FFFFFF" w:val="clear"/>
            <w:tcMar>
              <w:top w:type="dxa" w:w="80"/>
              <w:left w:type="dxa" w:w="120"/>
              <w:bottom w:type="dxa" w:w="80"/>
              <w:right w:type="dxa" w:w="120"/>
            </w:tcMar>
            <w:vAlign w:val="center"/>
          </w:tcPr>
          <w:p>
            <w:pPr>
              <w:spacing w:after="60" w:before="60"/>
              <w:jc w:val="left"/>
            </w:pPr>
            <w:r>
              <w:rPr>
                <w:b w:val="false"/>
                <w:bCs w:val="false"/>
                <w:color w:val="333333"/>
                <w:sz w:val="18"/>
                <w:szCs w:val="18"/>
              </w:rPr>
              <w:t xml:space="preserve">Conservative liquidity</w:t>
            </w:r>
          </w:p>
        </w:tc>
      </w:tr>
    </w:tbl>
    <w:p>
      <w:pPr>
        <w:spacing w:after="80" w:before="0"/>
      </w:pPr>
    </w:p>
    <w:p>
      <w:r>
        <w:br w:type="page"/>
      </w:r>
    </w:p>
    <w:p>
      <w:pPr>
        <w:pStyle w:val="Heading1"/>
        <w:shd w:fill="1a2744" w:val="clear"/>
        <w:spacing w:after="160" w:before="280"/>
      </w:pPr>
      <w:r>
        <w:rPr>
          <w:b/>
          <w:bCs/>
          <w:color w:val="FFFFFF"/>
          <w:sz w:val="32"/>
          <w:szCs w:val="32"/>
        </w:rPr>
        <w:t xml:space="preserve">SECTION 10: GLOSSARY OF TERMS</w:t>
      </w:r>
    </w:p>
    <w:p>
      <w:pPr>
        <w:spacing w:after="60" w:before="0"/>
      </w:pPr>
    </w:p>
    <w:tbl>
      <w:tblPr>
        <w:tblW w:type="dxa" w:w="10080"/>
        <w:tblBorders>
          <w:top w:val="single" w:color="AACCDD" w:sz="4"/>
          <w:left w:val="single" w:color="AACCDD" w:sz="4"/>
          <w:bottom w:val="single" w:color="AACCDD" w:sz="4"/>
          <w:right w:val="single" w:color="AACCDD" w:sz="4"/>
          <w:insideH w:val="single" w:color="auto" w:sz="4"/>
          <w:insideV w:val="single" w:color="auto" w:sz="4"/>
        </w:tblBorders>
      </w:tblPr>
      <w:tblGrid>
        <w:gridCol w:w="2400"/>
        <w:gridCol w:w="7680"/>
      </w:tblGrid>
      <w:tr>
        <w:trPr>
          <w:tblHeader/>
        </w:trPr>
        <w:tc>
          <w:tcPr>
            <w:tcW w:type="dxa" w:w="2400"/>
            <w:tcBorders>
              <w:top w:val="single" w:color="AACCDD" w:sz="4"/>
              <w:left w:val="single" w:color="AACCDD" w:sz="4"/>
              <w:bottom w:val="single" w:color="AACCDD" w:sz="4"/>
              <w:right w:val="single" w:color="AACCDD" w:sz="4"/>
            </w:tcBorders>
            <w:shd w:fill="D5E8F0" w:val="clear"/>
            <w:tcMar>
              <w:top w:type="dxa" w:w="80"/>
              <w:left w:type="dxa" w:w="120"/>
              <w:bottom w:type="dxa" w:w="80"/>
              <w:right w:type="dxa" w:w="120"/>
            </w:tcMar>
            <w:vAlign w:val="center"/>
          </w:tcPr>
          <w:p>
            <w:pPr>
              <w:spacing w:after="60" w:before="60"/>
              <w:jc w:val="left"/>
            </w:pPr>
            <w:r>
              <w:rPr>
                <w:b/>
                <w:bCs/>
                <w:color w:val="1a2744"/>
                <w:sz w:val="18"/>
                <w:szCs w:val="18"/>
              </w:rPr>
              <w:t xml:space="preserve">Term</w:t>
            </w:r>
          </w:p>
        </w:tc>
        <w:tc>
          <w:tcPr>
            <w:tcW w:type="dxa" w:w="7680"/>
            <w:tcBorders>
              <w:top w:val="single" w:color="AACCDD" w:sz="4"/>
              <w:left w:val="single" w:color="AACCDD" w:sz="4"/>
              <w:bottom w:val="single" w:color="AACCDD" w:sz="4"/>
              <w:right w:val="single" w:color="AACCDD" w:sz="4"/>
            </w:tcBorders>
            <w:shd w:fill="D5E8F0" w:val="clear"/>
            <w:tcMar>
              <w:top w:type="dxa" w:w="80"/>
              <w:left w:type="dxa" w:w="120"/>
              <w:bottom w:type="dxa" w:w="80"/>
              <w:right w:type="dxa" w:w="120"/>
            </w:tcMar>
            <w:vAlign w:val="center"/>
          </w:tcPr>
          <w:p>
            <w:pPr>
              <w:spacing w:after="60" w:before="60"/>
              <w:jc w:val="left"/>
            </w:pPr>
            <w:r>
              <w:rPr>
                <w:b/>
                <w:bCs/>
                <w:color w:val="1a2744"/>
                <w:sz w:val="18"/>
                <w:szCs w:val="18"/>
              </w:rPr>
              <w:t xml:space="preserve">Definition</w:t>
            </w:r>
          </w:p>
        </w:tc>
      </w:tr>
      <w:tr>
        <w:tc>
          <w:tcPr>
            <w:tcW w:type="dxa" w:w="2400"/>
            <w:tcBorders>
              <w:top w:val="single" w:color="AACCDD" w:sz="4"/>
              <w:left w:val="single" w:color="AACCDD" w:sz="4"/>
              <w:bottom w:val="single" w:color="AACCDD" w:sz="4"/>
              <w:right w:val="single" w:color="AACCDD" w:sz="4"/>
            </w:tcBorders>
            <w:shd w:fill="FFFFFF" w:val="clear"/>
            <w:tcMar>
              <w:top w:type="dxa" w:w="80"/>
              <w:left w:type="dxa" w:w="120"/>
              <w:bottom w:type="dxa" w:w="80"/>
              <w:right w:type="dxa" w:w="120"/>
            </w:tcMar>
            <w:vAlign w:val="center"/>
          </w:tcPr>
          <w:p>
            <w:pPr>
              <w:spacing w:after="60" w:before="60"/>
              <w:jc w:val="left"/>
            </w:pPr>
            <w:r>
              <w:rPr>
                <w:b w:val="false"/>
                <w:bCs w:val="false"/>
                <w:color w:val="333333"/>
                <w:sz w:val="18"/>
                <w:szCs w:val="18"/>
              </w:rPr>
              <w:t xml:space="preserve">Sharpe Ratio</w:t>
            </w:r>
          </w:p>
        </w:tc>
        <w:tc>
          <w:tcPr>
            <w:tcW w:type="dxa" w:w="7680"/>
            <w:tcBorders>
              <w:top w:val="single" w:color="AACCDD" w:sz="4"/>
              <w:left w:val="single" w:color="AACCDD" w:sz="4"/>
              <w:bottom w:val="single" w:color="AACCDD" w:sz="4"/>
              <w:right w:val="single" w:color="AACCDD" w:sz="4"/>
            </w:tcBorders>
            <w:shd w:fill="FFFFFF" w:val="clear"/>
            <w:tcMar>
              <w:top w:type="dxa" w:w="80"/>
              <w:left w:type="dxa" w:w="120"/>
              <w:bottom w:type="dxa" w:w="80"/>
              <w:right w:type="dxa" w:w="120"/>
            </w:tcMar>
            <w:vAlign w:val="center"/>
          </w:tcPr>
          <w:p>
            <w:pPr>
              <w:spacing w:after="60" w:before="60"/>
              <w:jc w:val="left"/>
            </w:pPr>
            <w:r>
              <w:rPr>
                <w:b w:val="false"/>
                <w:bCs w:val="false"/>
                <w:color w:val="333333"/>
                <w:sz w:val="18"/>
                <w:szCs w:val="18"/>
              </w:rPr>
              <w:t xml:space="preserve">Risk-adjusted return: (Annual Return - Risk Free Rate) / Annual Volatility. Higher is better. A ratio above 2.0 is considered excellent; above 3.0 is exceptional.</w:t>
            </w:r>
          </w:p>
        </w:tc>
      </w:tr>
      <w:tr>
        <w:tc>
          <w:tcPr>
            <w:tcW w:type="dxa" w:w="2400"/>
            <w:tcBorders>
              <w:top w:val="single" w:color="AACCDD" w:sz="4"/>
              <w:left w:val="single" w:color="AACCDD" w:sz="4"/>
              <w:bottom w:val="single" w:color="AACCDD" w:sz="4"/>
              <w:right w:val="single" w:color="AACCDD" w:sz="4"/>
            </w:tcBorders>
            <w:shd w:fill="EEF5F9" w:val="clear"/>
            <w:tcMar>
              <w:top w:type="dxa" w:w="80"/>
              <w:left w:type="dxa" w:w="120"/>
              <w:bottom w:type="dxa" w:w="80"/>
              <w:right w:type="dxa" w:w="120"/>
            </w:tcMar>
            <w:vAlign w:val="center"/>
          </w:tcPr>
          <w:p>
            <w:pPr>
              <w:spacing w:after="60" w:before="60"/>
              <w:jc w:val="left"/>
            </w:pPr>
            <w:r>
              <w:rPr>
                <w:b w:val="false"/>
                <w:bCs w:val="false"/>
                <w:color w:val="333333"/>
                <w:sz w:val="18"/>
                <w:szCs w:val="18"/>
              </w:rPr>
              <w:t xml:space="preserve">Walk-Forward Validation</w:t>
            </w:r>
          </w:p>
        </w:tc>
        <w:tc>
          <w:tcPr>
            <w:tcW w:type="dxa" w:w="7680"/>
            <w:tcBorders>
              <w:top w:val="single" w:color="AACCDD" w:sz="4"/>
              <w:left w:val="single" w:color="AACCDD" w:sz="4"/>
              <w:bottom w:val="single" w:color="AACCDD" w:sz="4"/>
              <w:right w:val="single" w:color="AACCDD" w:sz="4"/>
            </w:tcBorders>
            <w:shd w:fill="EEF5F9" w:val="clear"/>
            <w:tcMar>
              <w:top w:type="dxa" w:w="80"/>
              <w:left w:type="dxa" w:w="120"/>
              <w:bottom w:type="dxa" w:w="80"/>
              <w:right w:type="dxa" w:w="120"/>
            </w:tcMar>
            <w:vAlign w:val="center"/>
          </w:tcPr>
          <w:p>
            <w:pPr>
              <w:spacing w:after="60" w:before="60"/>
              <w:jc w:val="left"/>
            </w:pPr>
            <w:r>
              <w:rPr>
                <w:b w:val="false"/>
                <w:bCs w:val="false"/>
                <w:color w:val="333333"/>
                <w:sz w:val="18"/>
                <w:szCs w:val="18"/>
              </w:rPr>
              <w:t xml:space="preserve">A backtesting methodology where parameters are trained on historical data, then tested on unseen future data — repeated across multiple rolling windows.</w:t>
            </w:r>
          </w:p>
        </w:tc>
      </w:tr>
      <w:tr>
        <w:tc>
          <w:tcPr>
            <w:tcW w:type="dxa" w:w="2400"/>
            <w:tcBorders>
              <w:top w:val="single" w:color="AACCDD" w:sz="4"/>
              <w:left w:val="single" w:color="AACCDD" w:sz="4"/>
              <w:bottom w:val="single" w:color="AACCDD" w:sz="4"/>
              <w:right w:val="single" w:color="AACCDD" w:sz="4"/>
            </w:tcBorders>
            <w:shd w:fill="FFFFFF" w:val="clear"/>
            <w:tcMar>
              <w:top w:type="dxa" w:w="80"/>
              <w:left w:type="dxa" w:w="120"/>
              <w:bottom w:type="dxa" w:w="80"/>
              <w:right w:type="dxa" w:w="120"/>
            </w:tcMar>
            <w:vAlign w:val="center"/>
          </w:tcPr>
          <w:p>
            <w:pPr>
              <w:spacing w:after="60" w:before="60"/>
              <w:jc w:val="left"/>
            </w:pPr>
            <w:r>
              <w:rPr>
                <w:b w:val="false"/>
                <w:bCs w:val="false"/>
                <w:color w:val="333333"/>
                <w:sz w:val="18"/>
                <w:szCs w:val="18"/>
              </w:rPr>
              <w:t xml:space="preserve">OOS (Out-of-Sample)</w:t>
            </w:r>
          </w:p>
        </w:tc>
        <w:tc>
          <w:tcPr>
            <w:tcW w:type="dxa" w:w="7680"/>
            <w:tcBorders>
              <w:top w:val="single" w:color="AACCDD" w:sz="4"/>
              <w:left w:val="single" w:color="AACCDD" w:sz="4"/>
              <w:bottom w:val="single" w:color="AACCDD" w:sz="4"/>
              <w:right w:val="single" w:color="AACCDD" w:sz="4"/>
            </w:tcBorders>
            <w:shd w:fill="FFFFFF" w:val="clear"/>
            <w:tcMar>
              <w:top w:type="dxa" w:w="80"/>
              <w:left w:type="dxa" w:w="120"/>
              <w:bottom w:type="dxa" w:w="80"/>
              <w:right w:type="dxa" w:w="120"/>
            </w:tcMar>
            <w:vAlign w:val="center"/>
          </w:tcPr>
          <w:p>
            <w:pPr>
              <w:spacing w:after="60" w:before="60"/>
              <w:jc w:val="left"/>
            </w:pPr>
            <w:r>
              <w:rPr>
                <w:b w:val="false"/>
                <w:bCs w:val="false"/>
                <w:color w:val="333333"/>
                <w:sz w:val="18"/>
                <w:szCs w:val="18"/>
              </w:rPr>
              <w:t xml:space="preserve">Data that was never seen during model training or parameter selection. OOS results are the most reliable indicator of future performance.</w:t>
            </w:r>
          </w:p>
        </w:tc>
      </w:tr>
      <w:tr>
        <w:tc>
          <w:tcPr>
            <w:tcW w:type="dxa" w:w="2400"/>
            <w:tcBorders>
              <w:top w:val="single" w:color="AACCDD" w:sz="4"/>
              <w:left w:val="single" w:color="AACCDD" w:sz="4"/>
              <w:bottom w:val="single" w:color="AACCDD" w:sz="4"/>
              <w:right w:val="single" w:color="AACCDD" w:sz="4"/>
            </w:tcBorders>
            <w:shd w:fill="EEF5F9" w:val="clear"/>
            <w:tcMar>
              <w:top w:type="dxa" w:w="80"/>
              <w:left w:type="dxa" w:w="120"/>
              <w:bottom w:type="dxa" w:w="80"/>
              <w:right w:type="dxa" w:w="120"/>
            </w:tcMar>
            <w:vAlign w:val="center"/>
          </w:tcPr>
          <w:p>
            <w:pPr>
              <w:spacing w:after="60" w:before="60"/>
              <w:jc w:val="left"/>
            </w:pPr>
            <w:r>
              <w:rPr>
                <w:b w:val="false"/>
                <w:bCs w:val="false"/>
                <w:color w:val="333333"/>
                <w:sz w:val="18"/>
                <w:szCs w:val="18"/>
              </w:rPr>
              <w:t xml:space="preserve">IS (In-Sample)</w:t>
            </w:r>
          </w:p>
        </w:tc>
        <w:tc>
          <w:tcPr>
            <w:tcW w:type="dxa" w:w="7680"/>
            <w:tcBorders>
              <w:top w:val="single" w:color="AACCDD" w:sz="4"/>
              <w:left w:val="single" w:color="AACCDD" w:sz="4"/>
              <w:bottom w:val="single" w:color="AACCDD" w:sz="4"/>
              <w:right w:val="single" w:color="AACCDD" w:sz="4"/>
            </w:tcBorders>
            <w:shd w:fill="EEF5F9" w:val="clear"/>
            <w:tcMar>
              <w:top w:type="dxa" w:w="80"/>
              <w:left w:type="dxa" w:w="120"/>
              <w:bottom w:type="dxa" w:w="80"/>
              <w:right w:type="dxa" w:w="120"/>
            </w:tcMar>
            <w:vAlign w:val="center"/>
          </w:tcPr>
          <w:p>
            <w:pPr>
              <w:spacing w:after="60" w:before="60"/>
              <w:jc w:val="left"/>
            </w:pPr>
            <w:r>
              <w:rPr>
                <w:b w:val="false"/>
                <w:bCs w:val="false"/>
                <w:color w:val="333333"/>
                <w:sz w:val="18"/>
                <w:szCs w:val="18"/>
              </w:rPr>
              <w:t xml:space="preserve">Data used to train the model or optimise parameters. IS results are always expected to be better than OOS.</w:t>
            </w:r>
          </w:p>
        </w:tc>
      </w:tr>
      <w:tr>
        <w:tc>
          <w:tcPr>
            <w:tcW w:type="dxa" w:w="2400"/>
            <w:tcBorders>
              <w:top w:val="single" w:color="AACCDD" w:sz="4"/>
              <w:left w:val="single" w:color="AACCDD" w:sz="4"/>
              <w:bottom w:val="single" w:color="AACCDD" w:sz="4"/>
              <w:right w:val="single" w:color="AACCDD" w:sz="4"/>
            </w:tcBorders>
            <w:shd w:fill="FFFFFF" w:val="clear"/>
            <w:tcMar>
              <w:top w:type="dxa" w:w="80"/>
              <w:left w:type="dxa" w:w="120"/>
              <w:bottom w:type="dxa" w:w="80"/>
              <w:right w:type="dxa" w:w="120"/>
            </w:tcMar>
            <w:vAlign w:val="center"/>
          </w:tcPr>
          <w:p>
            <w:pPr>
              <w:spacing w:after="60" w:before="60"/>
              <w:jc w:val="left"/>
            </w:pPr>
            <w:r>
              <w:rPr>
                <w:b w:val="false"/>
                <w:bCs w:val="false"/>
                <w:color w:val="333333"/>
                <w:sz w:val="18"/>
                <w:szCs w:val="18"/>
              </w:rPr>
              <w:t xml:space="preserve">Overfitting Decay</w:t>
            </w:r>
          </w:p>
        </w:tc>
        <w:tc>
          <w:tcPr>
            <w:tcW w:type="dxa" w:w="7680"/>
            <w:tcBorders>
              <w:top w:val="single" w:color="AACCDD" w:sz="4"/>
              <w:left w:val="single" w:color="AACCDD" w:sz="4"/>
              <w:bottom w:val="single" w:color="AACCDD" w:sz="4"/>
              <w:right w:val="single" w:color="AACCDD" w:sz="4"/>
            </w:tcBorders>
            <w:shd w:fill="FFFFFF" w:val="clear"/>
            <w:tcMar>
              <w:top w:type="dxa" w:w="80"/>
              <w:left w:type="dxa" w:w="120"/>
              <w:bottom w:type="dxa" w:w="80"/>
              <w:right w:type="dxa" w:w="120"/>
            </w:tcMar>
            <w:vAlign w:val="center"/>
          </w:tcPr>
          <w:p>
            <w:pPr>
              <w:spacing w:after="60" w:before="60"/>
              <w:jc w:val="left"/>
            </w:pPr>
            <w:r>
              <w:rPr>
                <w:b w:val="false"/>
                <w:bCs w:val="false"/>
                <w:color w:val="333333"/>
                <w:sz w:val="18"/>
                <w:szCs w:val="18"/>
              </w:rPr>
              <w:t xml:space="preserve">(IS Sharpe - OOS Sharpe) / IS Sharpe. Measures how much performance deteriorates from training to live-equivalent testing.</w:t>
            </w:r>
          </w:p>
        </w:tc>
      </w:tr>
      <w:tr>
        <w:tc>
          <w:tcPr>
            <w:tcW w:type="dxa" w:w="2400"/>
            <w:tcBorders>
              <w:top w:val="single" w:color="AACCDD" w:sz="4"/>
              <w:left w:val="single" w:color="AACCDD" w:sz="4"/>
              <w:bottom w:val="single" w:color="AACCDD" w:sz="4"/>
              <w:right w:val="single" w:color="AACCDD" w:sz="4"/>
            </w:tcBorders>
            <w:shd w:fill="EEF5F9" w:val="clear"/>
            <w:tcMar>
              <w:top w:type="dxa" w:w="80"/>
              <w:left w:type="dxa" w:w="120"/>
              <w:bottom w:type="dxa" w:w="80"/>
              <w:right w:type="dxa" w:w="120"/>
            </w:tcMar>
            <w:vAlign w:val="center"/>
          </w:tcPr>
          <w:p>
            <w:pPr>
              <w:spacing w:after="60" w:before="60"/>
              <w:jc w:val="left"/>
            </w:pPr>
            <w:r>
              <w:rPr>
                <w:b w:val="false"/>
                <w:bCs w:val="false"/>
                <w:color w:val="333333"/>
                <w:sz w:val="18"/>
                <w:szCs w:val="18"/>
              </w:rPr>
              <w:t xml:space="preserve">CAGR</w:t>
            </w:r>
          </w:p>
        </w:tc>
        <w:tc>
          <w:tcPr>
            <w:tcW w:type="dxa" w:w="7680"/>
            <w:tcBorders>
              <w:top w:val="single" w:color="AACCDD" w:sz="4"/>
              <w:left w:val="single" w:color="AACCDD" w:sz="4"/>
              <w:bottom w:val="single" w:color="AACCDD" w:sz="4"/>
              <w:right w:val="single" w:color="AACCDD" w:sz="4"/>
            </w:tcBorders>
            <w:shd w:fill="EEF5F9" w:val="clear"/>
            <w:tcMar>
              <w:top w:type="dxa" w:w="80"/>
              <w:left w:type="dxa" w:w="120"/>
              <w:bottom w:type="dxa" w:w="80"/>
              <w:right w:type="dxa" w:w="120"/>
            </w:tcMar>
            <w:vAlign w:val="center"/>
          </w:tcPr>
          <w:p>
            <w:pPr>
              <w:spacing w:after="60" w:before="60"/>
              <w:jc w:val="left"/>
            </w:pPr>
            <w:r>
              <w:rPr>
                <w:b w:val="false"/>
                <w:bCs w:val="false"/>
                <w:color w:val="333333"/>
                <w:sz w:val="18"/>
                <w:szCs w:val="18"/>
              </w:rPr>
              <w:t xml:space="preserve">Compound Annual Growth Rate — the annualised return assuming profits are reinvested.</w:t>
            </w:r>
          </w:p>
        </w:tc>
      </w:tr>
      <w:tr>
        <w:tc>
          <w:tcPr>
            <w:tcW w:type="dxa" w:w="2400"/>
            <w:tcBorders>
              <w:top w:val="single" w:color="AACCDD" w:sz="4"/>
              <w:left w:val="single" w:color="AACCDD" w:sz="4"/>
              <w:bottom w:val="single" w:color="AACCDD" w:sz="4"/>
              <w:right w:val="single" w:color="AACCDD" w:sz="4"/>
            </w:tcBorders>
            <w:shd w:fill="FFFFFF" w:val="clear"/>
            <w:tcMar>
              <w:top w:type="dxa" w:w="80"/>
              <w:left w:type="dxa" w:w="120"/>
              <w:bottom w:type="dxa" w:w="80"/>
              <w:right w:type="dxa" w:w="120"/>
            </w:tcMar>
            <w:vAlign w:val="center"/>
          </w:tcPr>
          <w:p>
            <w:pPr>
              <w:spacing w:after="60" w:before="60"/>
              <w:jc w:val="left"/>
            </w:pPr>
            <w:r>
              <w:rPr>
                <w:b w:val="false"/>
                <w:bCs w:val="false"/>
                <w:color w:val="333333"/>
                <w:sz w:val="18"/>
                <w:szCs w:val="18"/>
              </w:rPr>
              <w:t xml:space="preserve">ATR</w:t>
            </w:r>
          </w:p>
        </w:tc>
        <w:tc>
          <w:tcPr>
            <w:tcW w:type="dxa" w:w="7680"/>
            <w:tcBorders>
              <w:top w:val="single" w:color="AACCDD" w:sz="4"/>
              <w:left w:val="single" w:color="AACCDD" w:sz="4"/>
              <w:bottom w:val="single" w:color="AACCDD" w:sz="4"/>
              <w:right w:val="single" w:color="AACCDD" w:sz="4"/>
            </w:tcBorders>
            <w:shd w:fill="FFFFFF" w:val="clear"/>
            <w:tcMar>
              <w:top w:type="dxa" w:w="80"/>
              <w:left w:type="dxa" w:w="120"/>
              <w:bottom w:type="dxa" w:w="80"/>
              <w:right w:type="dxa" w:w="120"/>
            </w:tcMar>
            <w:vAlign w:val="center"/>
          </w:tcPr>
          <w:p>
            <w:pPr>
              <w:spacing w:after="60" w:before="60"/>
              <w:jc w:val="left"/>
            </w:pPr>
            <w:r>
              <w:rPr>
                <w:b w:val="false"/>
                <w:bCs w:val="false"/>
                <w:color w:val="333333"/>
                <w:sz w:val="18"/>
                <w:szCs w:val="18"/>
              </w:rPr>
              <w:t xml:space="preserve">Average True Range — a measure of recent price volatility. Used to set dynamic stop-loss levels proportional to each stock's typical daily movement.</w:t>
            </w:r>
          </w:p>
        </w:tc>
      </w:tr>
      <w:tr>
        <w:tc>
          <w:tcPr>
            <w:tcW w:type="dxa" w:w="2400"/>
            <w:tcBorders>
              <w:top w:val="single" w:color="AACCDD" w:sz="4"/>
              <w:left w:val="single" w:color="AACCDD" w:sz="4"/>
              <w:bottom w:val="single" w:color="AACCDD" w:sz="4"/>
              <w:right w:val="single" w:color="AACCDD" w:sz="4"/>
            </w:tcBorders>
            <w:shd w:fill="EEF5F9" w:val="clear"/>
            <w:tcMar>
              <w:top w:type="dxa" w:w="80"/>
              <w:left w:type="dxa" w:w="120"/>
              <w:bottom w:type="dxa" w:w="80"/>
              <w:right w:type="dxa" w:w="120"/>
            </w:tcMar>
            <w:vAlign w:val="center"/>
          </w:tcPr>
          <w:p>
            <w:pPr>
              <w:spacing w:after="60" w:before="60"/>
              <w:jc w:val="left"/>
            </w:pPr>
            <w:r>
              <w:rPr>
                <w:b w:val="false"/>
                <w:bCs w:val="false"/>
                <w:color w:val="333333"/>
                <w:sz w:val="18"/>
                <w:szCs w:val="18"/>
              </w:rPr>
              <w:t xml:space="preserve">Drawdown</w:t>
            </w:r>
          </w:p>
        </w:tc>
        <w:tc>
          <w:tcPr>
            <w:tcW w:type="dxa" w:w="7680"/>
            <w:tcBorders>
              <w:top w:val="single" w:color="AACCDD" w:sz="4"/>
              <w:left w:val="single" w:color="AACCDD" w:sz="4"/>
              <w:bottom w:val="single" w:color="AACCDD" w:sz="4"/>
              <w:right w:val="single" w:color="AACCDD" w:sz="4"/>
            </w:tcBorders>
            <w:shd w:fill="EEF5F9" w:val="clear"/>
            <w:tcMar>
              <w:top w:type="dxa" w:w="80"/>
              <w:left w:type="dxa" w:w="120"/>
              <w:bottom w:type="dxa" w:w="80"/>
              <w:right w:type="dxa" w:w="120"/>
            </w:tcMar>
            <w:vAlign w:val="center"/>
          </w:tcPr>
          <w:p>
            <w:pPr>
              <w:spacing w:after="60" w:before="60"/>
              <w:jc w:val="left"/>
            </w:pPr>
            <w:r>
              <w:rPr>
                <w:b w:val="false"/>
                <w:bCs w:val="false"/>
                <w:color w:val="333333"/>
                <w:sz w:val="18"/>
                <w:szCs w:val="18"/>
              </w:rPr>
              <w:t xml:space="preserve">The decline in portfolio value from a peak to a subsequent trough. Maximum Drawdown is the largest such decline over a given period.</w:t>
            </w:r>
          </w:p>
        </w:tc>
      </w:tr>
      <w:tr>
        <w:tc>
          <w:tcPr>
            <w:tcW w:type="dxa" w:w="2400"/>
            <w:tcBorders>
              <w:top w:val="single" w:color="AACCDD" w:sz="4"/>
              <w:left w:val="single" w:color="AACCDD" w:sz="4"/>
              <w:bottom w:val="single" w:color="AACCDD" w:sz="4"/>
              <w:right w:val="single" w:color="AACCDD" w:sz="4"/>
            </w:tcBorders>
            <w:shd w:fill="FFFFFF" w:val="clear"/>
            <w:tcMar>
              <w:top w:type="dxa" w:w="80"/>
              <w:left w:type="dxa" w:w="120"/>
              <w:bottom w:type="dxa" w:w="80"/>
              <w:right w:type="dxa" w:w="120"/>
            </w:tcMar>
            <w:vAlign w:val="center"/>
          </w:tcPr>
          <w:p>
            <w:pPr>
              <w:spacing w:after="60" w:before="60"/>
              <w:jc w:val="left"/>
            </w:pPr>
            <w:r>
              <w:rPr>
                <w:b w:val="false"/>
                <w:bCs w:val="false"/>
                <w:color w:val="333333"/>
                <w:sz w:val="18"/>
                <w:szCs w:val="18"/>
              </w:rPr>
              <w:t xml:space="preserve">Regime</w:t>
            </w:r>
          </w:p>
        </w:tc>
        <w:tc>
          <w:tcPr>
            <w:tcW w:type="dxa" w:w="7680"/>
            <w:tcBorders>
              <w:top w:val="single" w:color="AACCDD" w:sz="4"/>
              <w:left w:val="single" w:color="AACCDD" w:sz="4"/>
              <w:bottom w:val="single" w:color="AACCDD" w:sz="4"/>
              <w:right w:val="single" w:color="AACCDD" w:sz="4"/>
            </w:tcBorders>
            <w:shd w:fill="FFFFFF" w:val="clear"/>
            <w:tcMar>
              <w:top w:type="dxa" w:w="80"/>
              <w:left w:type="dxa" w:w="120"/>
              <w:bottom w:type="dxa" w:w="80"/>
              <w:right w:type="dxa" w:w="120"/>
            </w:tcMar>
            <w:vAlign w:val="center"/>
          </w:tcPr>
          <w:p>
            <w:pPr>
              <w:spacing w:after="60" w:before="60"/>
              <w:jc w:val="left"/>
            </w:pPr>
            <w:r>
              <w:rPr>
                <w:b w:val="false"/>
                <w:bCs w:val="false"/>
                <w:color w:val="333333"/>
                <w:sz w:val="18"/>
                <w:szCs w:val="18"/>
              </w:rPr>
              <w:t xml:space="preserve">Classification of current market condition: Strong Bull / Bull / Choppy / Bear. Drives strategy allocation and stock universe selection.</w:t>
            </w:r>
          </w:p>
        </w:tc>
      </w:tr>
      <w:tr>
        <w:tc>
          <w:tcPr>
            <w:tcW w:type="dxa" w:w="2400"/>
            <w:tcBorders>
              <w:top w:val="single" w:color="AACCDD" w:sz="4"/>
              <w:left w:val="single" w:color="AACCDD" w:sz="4"/>
              <w:bottom w:val="single" w:color="AACCDD" w:sz="4"/>
              <w:right w:val="single" w:color="AACCDD" w:sz="4"/>
            </w:tcBorders>
            <w:shd w:fill="EEF5F9" w:val="clear"/>
            <w:tcMar>
              <w:top w:type="dxa" w:w="80"/>
              <w:left w:type="dxa" w:w="120"/>
              <w:bottom w:type="dxa" w:w="80"/>
              <w:right w:type="dxa" w:w="120"/>
            </w:tcMar>
            <w:vAlign w:val="center"/>
          </w:tcPr>
          <w:p>
            <w:pPr>
              <w:spacing w:after="60" w:before="60"/>
              <w:jc w:val="left"/>
            </w:pPr>
            <w:r>
              <w:rPr>
                <w:b w:val="false"/>
                <w:bCs w:val="false"/>
                <w:color w:val="333333"/>
                <w:sz w:val="18"/>
                <w:szCs w:val="18"/>
              </w:rPr>
              <w:t xml:space="preserve">Paper Trading</w:t>
            </w:r>
          </w:p>
        </w:tc>
        <w:tc>
          <w:tcPr>
            <w:tcW w:type="dxa" w:w="7680"/>
            <w:tcBorders>
              <w:top w:val="single" w:color="AACCDD" w:sz="4"/>
              <w:left w:val="single" w:color="AACCDD" w:sz="4"/>
              <w:bottom w:val="single" w:color="AACCDD" w:sz="4"/>
              <w:right w:val="single" w:color="AACCDD" w:sz="4"/>
            </w:tcBorders>
            <w:shd w:fill="EEF5F9" w:val="clear"/>
            <w:tcMar>
              <w:top w:type="dxa" w:w="80"/>
              <w:left w:type="dxa" w:w="120"/>
              <w:bottom w:type="dxa" w:w="80"/>
              <w:right w:type="dxa" w:w="120"/>
            </w:tcMar>
            <w:vAlign w:val="center"/>
          </w:tcPr>
          <w:p>
            <w:pPr>
              <w:spacing w:after="60" w:before="60"/>
              <w:jc w:val="left"/>
            </w:pPr>
            <w:r>
              <w:rPr>
                <w:b w:val="false"/>
                <w:bCs w:val="false"/>
                <w:color w:val="333333"/>
                <w:sz w:val="18"/>
                <w:szCs w:val="18"/>
              </w:rPr>
              <w:t xml:space="preserve">Live simulation using real market prices but no real capital. Used to validate system execution before deploying real funds.</w:t>
            </w:r>
          </w:p>
        </w:tc>
      </w:tr>
      <w:tr>
        <w:tc>
          <w:tcPr>
            <w:tcW w:type="dxa" w:w="2400"/>
            <w:tcBorders>
              <w:top w:val="single" w:color="AACCDD" w:sz="4"/>
              <w:left w:val="single" w:color="AACCDD" w:sz="4"/>
              <w:bottom w:val="single" w:color="AACCDD" w:sz="4"/>
              <w:right w:val="single" w:color="AACCDD" w:sz="4"/>
            </w:tcBorders>
            <w:shd w:fill="FFFFFF" w:val="clear"/>
            <w:tcMar>
              <w:top w:type="dxa" w:w="80"/>
              <w:left w:type="dxa" w:w="120"/>
              <w:bottom w:type="dxa" w:w="80"/>
              <w:right w:type="dxa" w:w="120"/>
            </w:tcMar>
            <w:vAlign w:val="center"/>
          </w:tcPr>
          <w:p>
            <w:pPr>
              <w:spacing w:after="60" w:before="60"/>
              <w:jc w:val="left"/>
            </w:pPr>
            <w:r>
              <w:rPr>
                <w:b w:val="false"/>
                <w:bCs w:val="false"/>
                <w:color w:val="333333"/>
                <w:sz w:val="18"/>
                <w:szCs w:val="18"/>
              </w:rPr>
              <w:t xml:space="preserve">Mean Reversion</w:t>
            </w:r>
          </w:p>
        </w:tc>
        <w:tc>
          <w:tcPr>
            <w:tcW w:type="dxa" w:w="7680"/>
            <w:tcBorders>
              <w:top w:val="single" w:color="AACCDD" w:sz="4"/>
              <w:left w:val="single" w:color="AACCDD" w:sz="4"/>
              <w:bottom w:val="single" w:color="AACCDD" w:sz="4"/>
              <w:right w:val="single" w:color="AACCDD" w:sz="4"/>
            </w:tcBorders>
            <w:shd w:fill="FFFFFF" w:val="clear"/>
            <w:tcMar>
              <w:top w:type="dxa" w:w="80"/>
              <w:left w:type="dxa" w:w="120"/>
              <w:bottom w:type="dxa" w:w="80"/>
              <w:right w:type="dxa" w:w="120"/>
            </w:tcMar>
            <w:vAlign w:val="center"/>
          </w:tcPr>
          <w:p>
            <w:pPr>
              <w:spacing w:after="60" w:before="60"/>
              <w:jc w:val="left"/>
            </w:pPr>
            <w:r>
              <w:rPr>
                <w:b w:val="false"/>
                <w:bCs w:val="false"/>
                <w:color w:val="333333"/>
                <w:sz w:val="18"/>
                <w:szCs w:val="18"/>
              </w:rPr>
              <w:t xml:space="preserve">The tendency of prices to revert to their historical average after extreme moves. The MR strategy exploits oversold conditions.</w:t>
            </w:r>
          </w:p>
        </w:tc>
      </w:tr>
      <w:tr>
        <w:tc>
          <w:tcPr>
            <w:tcW w:type="dxa" w:w="2400"/>
            <w:tcBorders>
              <w:top w:val="single" w:color="AACCDD" w:sz="4"/>
              <w:left w:val="single" w:color="AACCDD" w:sz="4"/>
              <w:bottom w:val="single" w:color="AACCDD" w:sz="4"/>
              <w:right w:val="single" w:color="AACCDD" w:sz="4"/>
            </w:tcBorders>
            <w:shd w:fill="EEF5F9" w:val="clear"/>
            <w:tcMar>
              <w:top w:type="dxa" w:w="80"/>
              <w:left w:type="dxa" w:w="120"/>
              <w:bottom w:type="dxa" w:w="80"/>
              <w:right w:type="dxa" w:w="120"/>
            </w:tcMar>
            <w:vAlign w:val="center"/>
          </w:tcPr>
          <w:p>
            <w:pPr>
              <w:spacing w:after="60" w:before="60"/>
              <w:jc w:val="left"/>
            </w:pPr>
            <w:r>
              <w:rPr>
                <w:b w:val="false"/>
                <w:bCs w:val="false"/>
                <w:color w:val="333333"/>
                <w:sz w:val="18"/>
                <w:szCs w:val="18"/>
              </w:rPr>
              <w:t xml:space="preserve">Momentum</w:t>
            </w:r>
          </w:p>
        </w:tc>
        <w:tc>
          <w:tcPr>
            <w:tcW w:type="dxa" w:w="7680"/>
            <w:tcBorders>
              <w:top w:val="single" w:color="AACCDD" w:sz="4"/>
              <w:left w:val="single" w:color="AACCDD" w:sz="4"/>
              <w:bottom w:val="single" w:color="AACCDD" w:sz="4"/>
              <w:right w:val="single" w:color="AACCDD" w:sz="4"/>
            </w:tcBorders>
            <w:shd w:fill="EEF5F9" w:val="clear"/>
            <w:tcMar>
              <w:top w:type="dxa" w:w="80"/>
              <w:left w:type="dxa" w:w="120"/>
              <w:bottom w:type="dxa" w:w="80"/>
              <w:right w:type="dxa" w:w="120"/>
            </w:tcMar>
            <w:vAlign w:val="center"/>
          </w:tcPr>
          <w:p>
            <w:pPr>
              <w:spacing w:after="60" w:before="60"/>
              <w:jc w:val="left"/>
            </w:pPr>
            <w:r>
              <w:rPr>
                <w:b w:val="false"/>
                <w:bCs w:val="false"/>
                <w:color w:val="333333"/>
                <w:sz w:val="18"/>
                <w:szCs w:val="18"/>
              </w:rPr>
              <w:t xml:space="preserve">The tendency of assets that have recently outperformed to continue outperforming in the short to medium term. The core V4 strategy exploits this.</w:t>
            </w:r>
          </w:p>
        </w:tc>
      </w:tr>
      <w:tr>
        <w:tc>
          <w:tcPr>
            <w:tcW w:type="dxa" w:w="2400"/>
            <w:tcBorders>
              <w:top w:val="single" w:color="AACCDD" w:sz="4"/>
              <w:left w:val="single" w:color="AACCDD" w:sz="4"/>
              <w:bottom w:val="single" w:color="AACCDD" w:sz="4"/>
              <w:right w:val="single" w:color="AACCDD" w:sz="4"/>
            </w:tcBorders>
            <w:shd w:fill="FFFFFF" w:val="clear"/>
            <w:tcMar>
              <w:top w:type="dxa" w:w="80"/>
              <w:left w:type="dxa" w:w="120"/>
              <w:bottom w:type="dxa" w:w="80"/>
              <w:right w:type="dxa" w:w="120"/>
            </w:tcMar>
            <w:vAlign w:val="center"/>
          </w:tcPr>
          <w:p>
            <w:pPr>
              <w:spacing w:after="60" w:before="60"/>
              <w:jc w:val="left"/>
            </w:pPr>
            <w:r>
              <w:rPr>
                <w:b w:val="false"/>
                <w:bCs w:val="false"/>
                <w:color w:val="333333"/>
                <w:sz w:val="18"/>
                <w:szCs w:val="18"/>
              </w:rPr>
              <w:t xml:space="preserve">Event-Driven</w:t>
            </w:r>
          </w:p>
        </w:tc>
        <w:tc>
          <w:tcPr>
            <w:tcW w:type="dxa" w:w="7680"/>
            <w:tcBorders>
              <w:top w:val="single" w:color="AACCDD" w:sz="4"/>
              <w:left w:val="single" w:color="AACCDD" w:sz="4"/>
              <w:bottom w:val="single" w:color="AACCDD" w:sz="4"/>
              <w:right w:val="single" w:color="AACCDD" w:sz="4"/>
            </w:tcBorders>
            <w:shd w:fill="FFFFFF" w:val="clear"/>
            <w:tcMar>
              <w:top w:type="dxa" w:w="80"/>
              <w:left w:type="dxa" w:w="120"/>
              <w:bottom w:type="dxa" w:w="80"/>
              <w:right w:type="dxa" w:w="120"/>
            </w:tcMar>
            <w:vAlign w:val="center"/>
          </w:tcPr>
          <w:p>
            <w:pPr>
              <w:spacing w:after="60" w:before="60"/>
              <w:jc w:val="left"/>
            </w:pPr>
            <w:r>
              <w:rPr>
                <w:b w:val="false"/>
                <w:bCs w:val="false"/>
                <w:color w:val="333333"/>
                <w:sz w:val="18"/>
                <w:szCs w:val="18"/>
              </w:rPr>
              <w:t xml:space="preserve">Strategies that profit from predictable price movements around specific corporate events (e.g., earnings announcements).</w:t>
            </w:r>
          </w:p>
        </w:tc>
      </w:tr>
      <w:tr>
        <w:tc>
          <w:tcPr>
            <w:tcW w:type="dxa" w:w="2400"/>
            <w:tcBorders>
              <w:top w:val="single" w:color="AACCDD" w:sz="4"/>
              <w:left w:val="single" w:color="AACCDD" w:sz="4"/>
              <w:bottom w:val="single" w:color="AACCDD" w:sz="4"/>
              <w:right w:val="single" w:color="AACCDD" w:sz="4"/>
            </w:tcBorders>
            <w:shd w:fill="EEF5F9" w:val="clear"/>
            <w:tcMar>
              <w:top w:type="dxa" w:w="80"/>
              <w:left w:type="dxa" w:w="120"/>
              <w:bottom w:type="dxa" w:w="80"/>
              <w:right w:type="dxa" w:w="120"/>
            </w:tcMar>
            <w:vAlign w:val="center"/>
          </w:tcPr>
          <w:p>
            <w:pPr>
              <w:spacing w:after="60" w:before="60"/>
              <w:jc w:val="left"/>
            </w:pPr>
            <w:r>
              <w:rPr>
                <w:b w:val="false"/>
                <w:bCs w:val="false"/>
                <w:color w:val="333333"/>
                <w:sz w:val="18"/>
                <w:szCs w:val="18"/>
              </w:rPr>
              <w:t xml:space="preserve">Factor</w:t>
            </w:r>
          </w:p>
        </w:tc>
        <w:tc>
          <w:tcPr>
            <w:tcW w:type="dxa" w:w="7680"/>
            <w:tcBorders>
              <w:top w:val="single" w:color="AACCDD" w:sz="4"/>
              <w:left w:val="single" w:color="AACCDD" w:sz="4"/>
              <w:bottom w:val="single" w:color="AACCDD" w:sz="4"/>
              <w:right w:val="single" w:color="AACCDD" w:sz="4"/>
            </w:tcBorders>
            <w:shd w:fill="EEF5F9" w:val="clear"/>
            <w:tcMar>
              <w:top w:type="dxa" w:w="80"/>
              <w:left w:type="dxa" w:w="120"/>
              <w:bottom w:type="dxa" w:w="80"/>
              <w:right w:type="dxa" w:w="120"/>
            </w:tcMar>
            <w:vAlign w:val="center"/>
          </w:tcPr>
          <w:p>
            <w:pPr>
              <w:spacing w:after="60" w:before="60"/>
              <w:jc w:val="left"/>
            </w:pPr>
            <w:r>
              <w:rPr>
                <w:b w:val="false"/>
                <w:bCs w:val="false"/>
                <w:color w:val="333333"/>
                <w:sz w:val="18"/>
                <w:szCs w:val="18"/>
              </w:rPr>
              <w:t xml:space="preserve">A measurable characteristic of a stock (e.g., 1-month momentum, RSI) used as an input to the scoring model.</w:t>
            </w:r>
          </w:p>
        </w:tc>
      </w:tr>
    </w:tbl>
    <w:p>
      <w:pPr>
        <w:spacing w:after="80" w:before="0"/>
      </w:pPr>
    </w:p>
    <w:p>
      <w:r>
        <w:br w:type="page"/>
      </w:r>
    </w:p>
    <w:p>
      <w:pPr>
        <w:pStyle w:val="Heading1"/>
        <w:shd w:fill="1a2744" w:val="clear"/>
        <w:spacing w:after="160" w:before="280"/>
      </w:pPr>
      <w:r>
        <w:rPr>
          <w:b/>
          <w:bCs/>
          <w:color w:val="FFFFFF"/>
          <w:sz w:val="32"/>
          <w:szCs w:val="32"/>
        </w:rPr>
        <w:t xml:space="preserve">APPENDIX: DATA SOURCES &amp; AUDIT TRAIL</w:t>
      </w:r>
    </w:p>
    <w:p>
      <w:pPr>
        <w:spacing w:after="60" w:before="0"/>
      </w:pPr>
    </w:p>
    <w:tbl>
      <w:tblPr>
        <w:tblW w:type="dxa" w:w="10080"/>
        <w:tblBorders>
          <w:top w:val="single" w:color="AACCDD" w:sz="4"/>
          <w:left w:val="single" w:color="AACCDD" w:sz="4"/>
          <w:bottom w:val="single" w:color="AACCDD" w:sz="4"/>
          <w:right w:val="single" w:color="AACCDD" w:sz="4"/>
          <w:insideH w:val="single" w:color="auto" w:sz="4"/>
          <w:insideV w:val="single" w:color="auto" w:sz="4"/>
        </w:tblBorders>
      </w:tblPr>
      <w:tblGrid>
        <w:gridCol w:w="2400"/>
        <w:gridCol w:w="2600"/>
        <w:gridCol w:w="1800"/>
        <w:gridCol w:w="3280"/>
      </w:tblGrid>
      <w:tr>
        <w:trPr>
          <w:tblHeader/>
        </w:trPr>
        <w:tc>
          <w:tcPr>
            <w:tcW w:type="dxa" w:w="2400"/>
            <w:tcBorders>
              <w:top w:val="single" w:color="AACCDD" w:sz="4"/>
              <w:left w:val="single" w:color="AACCDD" w:sz="4"/>
              <w:bottom w:val="single" w:color="AACCDD" w:sz="4"/>
              <w:right w:val="single" w:color="AACCDD" w:sz="4"/>
            </w:tcBorders>
            <w:shd w:fill="D5E8F0" w:val="clear"/>
            <w:tcMar>
              <w:top w:type="dxa" w:w="80"/>
              <w:left w:type="dxa" w:w="120"/>
              <w:bottom w:type="dxa" w:w="80"/>
              <w:right w:type="dxa" w:w="120"/>
            </w:tcMar>
            <w:vAlign w:val="center"/>
          </w:tcPr>
          <w:p>
            <w:pPr>
              <w:spacing w:after="60" w:before="60"/>
              <w:jc w:val="left"/>
            </w:pPr>
            <w:r>
              <w:rPr>
                <w:b/>
                <w:bCs/>
                <w:color w:val="1a2744"/>
                <w:sz w:val="18"/>
                <w:szCs w:val="18"/>
              </w:rPr>
              <w:t xml:space="preserve">Data Source</w:t>
            </w:r>
          </w:p>
        </w:tc>
        <w:tc>
          <w:tcPr>
            <w:tcW w:type="dxa" w:w="2600"/>
            <w:tcBorders>
              <w:top w:val="single" w:color="AACCDD" w:sz="4"/>
              <w:left w:val="single" w:color="AACCDD" w:sz="4"/>
              <w:bottom w:val="single" w:color="AACCDD" w:sz="4"/>
              <w:right w:val="single" w:color="AACCDD" w:sz="4"/>
            </w:tcBorders>
            <w:shd w:fill="D5E8F0" w:val="clear"/>
            <w:tcMar>
              <w:top w:type="dxa" w:w="80"/>
              <w:left w:type="dxa" w:w="120"/>
              <w:bottom w:type="dxa" w:w="80"/>
              <w:right w:type="dxa" w:w="120"/>
            </w:tcMar>
            <w:vAlign w:val="center"/>
          </w:tcPr>
          <w:p>
            <w:pPr>
              <w:spacing w:after="60" w:before="60"/>
              <w:jc w:val="left"/>
            </w:pPr>
            <w:r>
              <w:rPr>
                <w:b/>
                <w:bCs/>
                <w:color w:val="1a2744"/>
                <w:sz w:val="18"/>
                <w:szCs w:val="18"/>
              </w:rPr>
              <w:t xml:space="preserve">Provider</w:t>
            </w:r>
          </w:p>
        </w:tc>
        <w:tc>
          <w:tcPr>
            <w:tcW w:type="dxa" w:w="1800"/>
            <w:tcBorders>
              <w:top w:val="single" w:color="AACCDD" w:sz="4"/>
              <w:left w:val="single" w:color="AACCDD" w:sz="4"/>
              <w:bottom w:val="single" w:color="AACCDD" w:sz="4"/>
              <w:right w:val="single" w:color="AACCDD" w:sz="4"/>
            </w:tcBorders>
            <w:shd w:fill="D5E8F0" w:val="clear"/>
            <w:tcMar>
              <w:top w:type="dxa" w:w="80"/>
              <w:left w:type="dxa" w:w="120"/>
              <w:bottom w:type="dxa" w:w="80"/>
              <w:right w:type="dxa" w:w="120"/>
            </w:tcMar>
            <w:vAlign w:val="center"/>
          </w:tcPr>
          <w:p>
            <w:pPr>
              <w:spacing w:after="60" w:before="60"/>
              <w:jc w:val="left"/>
            </w:pPr>
            <w:r>
              <w:rPr>
                <w:b/>
                <w:bCs/>
                <w:color w:val="1a2744"/>
                <w:sz w:val="18"/>
                <w:szCs w:val="18"/>
              </w:rPr>
              <w:t xml:space="preserve">Coverage</w:t>
            </w:r>
          </w:p>
        </w:tc>
        <w:tc>
          <w:tcPr>
            <w:tcW w:type="dxa" w:w="3280"/>
            <w:tcBorders>
              <w:top w:val="single" w:color="AACCDD" w:sz="4"/>
              <w:left w:val="single" w:color="AACCDD" w:sz="4"/>
              <w:bottom w:val="single" w:color="AACCDD" w:sz="4"/>
              <w:right w:val="single" w:color="AACCDD" w:sz="4"/>
            </w:tcBorders>
            <w:shd w:fill="D5E8F0" w:val="clear"/>
            <w:tcMar>
              <w:top w:type="dxa" w:w="80"/>
              <w:left w:type="dxa" w:w="120"/>
              <w:bottom w:type="dxa" w:w="80"/>
              <w:right w:type="dxa" w:w="120"/>
            </w:tcMar>
            <w:vAlign w:val="center"/>
          </w:tcPr>
          <w:p>
            <w:pPr>
              <w:spacing w:after="60" w:before="60"/>
              <w:jc w:val="left"/>
            </w:pPr>
            <w:r>
              <w:rPr>
                <w:b/>
                <w:bCs/>
                <w:color w:val="1a2744"/>
                <w:sz w:val="18"/>
                <w:szCs w:val="18"/>
              </w:rPr>
              <w:t xml:space="preserve">Usage</w:t>
            </w:r>
          </w:p>
        </w:tc>
      </w:tr>
      <w:tr>
        <w:tc>
          <w:tcPr>
            <w:tcW w:type="dxa" w:w="2400"/>
            <w:tcBorders>
              <w:top w:val="single" w:color="AACCDD" w:sz="4"/>
              <w:left w:val="single" w:color="AACCDD" w:sz="4"/>
              <w:bottom w:val="single" w:color="AACCDD" w:sz="4"/>
              <w:right w:val="single" w:color="AACCDD" w:sz="4"/>
            </w:tcBorders>
            <w:shd w:fill="FFFFFF" w:val="clear"/>
            <w:tcMar>
              <w:top w:type="dxa" w:w="80"/>
              <w:left w:type="dxa" w:w="120"/>
              <w:bottom w:type="dxa" w:w="80"/>
              <w:right w:type="dxa" w:w="120"/>
            </w:tcMar>
            <w:vAlign w:val="center"/>
          </w:tcPr>
          <w:p>
            <w:pPr>
              <w:spacing w:after="60" w:before="60"/>
              <w:jc w:val="left"/>
            </w:pPr>
            <w:r>
              <w:rPr>
                <w:b w:val="false"/>
                <w:bCs w:val="false"/>
                <w:color w:val="333333"/>
                <w:sz w:val="18"/>
                <w:szCs w:val="18"/>
              </w:rPr>
              <w:t xml:space="preserve">OHLCV Price Data</w:t>
            </w:r>
          </w:p>
        </w:tc>
        <w:tc>
          <w:tcPr>
            <w:tcW w:type="dxa" w:w="2600"/>
            <w:tcBorders>
              <w:top w:val="single" w:color="AACCDD" w:sz="4"/>
              <w:left w:val="single" w:color="AACCDD" w:sz="4"/>
              <w:bottom w:val="single" w:color="AACCDD" w:sz="4"/>
              <w:right w:val="single" w:color="AACCDD" w:sz="4"/>
            </w:tcBorders>
            <w:shd w:fill="FFFFFF" w:val="clear"/>
            <w:tcMar>
              <w:top w:type="dxa" w:w="80"/>
              <w:left w:type="dxa" w:w="120"/>
              <w:bottom w:type="dxa" w:w="80"/>
              <w:right w:type="dxa" w:w="120"/>
            </w:tcMar>
            <w:vAlign w:val="center"/>
          </w:tcPr>
          <w:p>
            <w:pPr>
              <w:spacing w:after="60" w:before="60"/>
              <w:jc w:val="left"/>
            </w:pPr>
            <w:r>
              <w:rPr>
                <w:b w:val="false"/>
                <w:bCs w:val="false"/>
                <w:color w:val="333333"/>
                <w:sz w:val="18"/>
                <w:szCs w:val="18"/>
              </w:rPr>
              <w:t xml:space="preserve">Alpha Vantage</w:t>
            </w:r>
          </w:p>
        </w:tc>
        <w:tc>
          <w:tcPr>
            <w:tcW w:type="dxa" w:w="1800"/>
            <w:tcBorders>
              <w:top w:val="single" w:color="AACCDD" w:sz="4"/>
              <w:left w:val="single" w:color="AACCDD" w:sz="4"/>
              <w:bottom w:val="single" w:color="AACCDD" w:sz="4"/>
              <w:right w:val="single" w:color="AACCDD" w:sz="4"/>
            </w:tcBorders>
            <w:shd w:fill="FFFFFF" w:val="clear"/>
            <w:tcMar>
              <w:top w:type="dxa" w:w="80"/>
              <w:left w:type="dxa" w:w="120"/>
              <w:bottom w:type="dxa" w:w="80"/>
              <w:right w:type="dxa" w:w="120"/>
            </w:tcMar>
            <w:vAlign w:val="center"/>
          </w:tcPr>
          <w:p>
            <w:pPr>
              <w:spacing w:after="60" w:before="60"/>
              <w:jc w:val="left"/>
            </w:pPr>
            <w:r>
              <w:rPr>
                <w:b w:val="false"/>
                <w:bCs w:val="false"/>
                <w:color w:val="333333"/>
                <w:sz w:val="18"/>
                <w:szCs w:val="18"/>
              </w:rPr>
              <w:t xml:space="preserve">2018–2026</w:t>
            </w:r>
          </w:p>
        </w:tc>
        <w:tc>
          <w:tcPr>
            <w:tcW w:type="dxa" w:w="3280"/>
            <w:tcBorders>
              <w:top w:val="single" w:color="AACCDD" w:sz="4"/>
              <w:left w:val="single" w:color="AACCDD" w:sz="4"/>
              <w:bottom w:val="single" w:color="AACCDD" w:sz="4"/>
              <w:right w:val="single" w:color="AACCDD" w:sz="4"/>
            </w:tcBorders>
            <w:shd w:fill="FFFFFF" w:val="clear"/>
            <w:tcMar>
              <w:top w:type="dxa" w:w="80"/>
              <w:left w:type="dxa" w:w="120"/>
              <w:bottom w:type="dxa" w:w="80"/>
              <w:right w:type="dxa" w:w="120"/>
            </w:tcMar>
            <w:vAlign w:val="center"/>
          </w:tcPr>
          <w:p>
            <w:pPr>
              <w:spacing w:after="60" w:before="60"/>
              <w:jc w:val="left"/>
            </w:pPr>
            <w:r>
              <w:rPr>
                <w:b w:val="false"/>
                <w:bCs w:val="false"/>
                <w:color w:val="333333"/>
                <w:sz w:val="18"/>
                <w:szCs w:val="18"/>
              </w:rPr>
              <w:t xml:space="preserve">All strategy backtests</w:t>
            </w:r>
          </w:p>
        </w:tc>
      </w:tr>
      <w:tr>
        <w:tc>
          <w:tcPr>
            <w:tcW w:type="dxa" w:w="2400"/>
            <w:tcBorders>
              <w:top w:val="single" w:color="AACCDD" w:sz="4"/>
              <w:left w:val="single" w:color="AACCDD" w:sz="4"/>
              <w:bottom w:val="single" w:color="AACCDD" w:sz="4"/>
              <w:right w:val="single" w:color="AACCDD" w:sz="4"/>
            </w:tcBorders>
            <w:shd w:fill="EEF5F9" w:val="clear"/>
            <w:tcMar>
              <w:top w:type="dxa" w:w="80"/>
              <w:left w:type="dxa" w:w="120"/>
              <w:bottom w:type="dxa" w:w="80"/>
              <w:right w:type="dxa" w:w="120"/>
            </w:tcMar>
            <w:vAlign w:val="center"/>
          </w:tcPr>
          <w:p>
            <w:pPr>
              <w:spacing w:after="60" w:before="60"/>
              <w:jc w:val="left"/>
            </w:pPr>
            <w:r>
              <w:rPr>
                <w:b w:val="false"/>
                <w:bCs w:val="false"/>
                <w:color w:val="333333"/>
                <w:sz w:val="18"/>
                <w:szCs w:val="18"/>
              </w:rPr>
              <w:t xml:space="preserve">Earnings Data</w:t>
            </w:r>
          </w:p>
        </w:tc>
        <w:tc>
          <w:tcPr>
            <w:tcW w:type="dxa" w:w="2600"/>
            <w:tcBorders>
              <w:top w:val="single" w:color="AACCDD" w:sz="4"/>
              <w:left w:val="single" w:color="AACCDD" w:sz="4"/>
              <w:bottom w:val="single" w:color="AACCDD" w:sz="4"/>
              <w:right w:val="single" w:color="AACCDD" w:sz="4"/>
            </w:tcBorders>
            <w:shd w:fill="EEF5F9" w:val="clear"/>
            <w:tcMar>
              <w:top w:type="dxa" w:w="80"/>
              <w:left w:type="dxa" w:w="120"/>
              <w:bottom w:type="dxa" w:w="80"/>
              <w:right w:type="dxa" w:w="120"/>
            </w:tcMar>
            <w:vAlign w:val="center"/>
          </w:tcPr>
          <w:p>
            <w:pPr>
              <w:spacing w:after="60" w:before="60"/>
              <w:jc w:val="left"/>
            </w:pPr>
            <w:r>
              <w:rPr>
                <w:b w:val="false"/>
                <w:bCs w:val="false"/>
                <w:color w:val="333333"/>
                <w:sz w:val="18"/>
                <w:szCs w:val="18"/>
              </w:rPr>
              <w:t xml:space="preserve">Alpha Vantage Earnings API</w:t>
            </w:r>
          </w:p>
        </w:tc>
        <w:tc>
          <w:tcPr>
            <w:tcW w:type="dxa" w:w="1800"/>
            <w:tcBorders>
              <w:top w:val="single" w:color="AACCDD" w:sz="4"/>
              <w:left w:val="single" w:color="AACCDD" w:sz="4"/>
              <w:bottom w:val="single" w:color="AACCDD" w:sz="4"/>
              <w:right w:val="single" w:color="AACCDD" w:sz="4"/>
            </w:tcBorders>
            <w:shd w:fill="EEF5F9" w:val="clear"/>
            <w:tcMar>
              <w:top w:type="dxa" w:w="80"/>
              <w:left w:type="dxa" w:w="120"/>
              <w:bottom w:type="dxa" w:w="80"/>
              <w:right w:type="dxa" w:w="120"/>
            </w:tcMar>
            <w:vAlign w:val="center"/>
          </w:tcPr>
          <w:p>
            <w:pPr>
              <w:spacing w:after="60" w:before="60"/>
              <w:jc w:val="left"/>
            </w:pPr>
            <w:r>
              <w:rPr>
                <w:b w:val="false"/>
                <w:bCs w:val="false"/>
                <w:color w:val="333333"/>
                <w:sz w:val="18"/>
                <w:szCs w:val="18"/>
              </w:rPr>
              <w:t xml:space="preserve">2018–2026</w:t>
            </w:r>
          </w:p>
        </w:tc>
        <w:tc>
          <w:tcPr>
            <w:tcW w:type="dxa" w:w="3280"/>
            <w:tcBorders>
              <w:top w:val="single" w:color="AACCDD" w:sz="4"/>
              <w:left w:val="single" w:color="AACCDD" w:sz="4"/>
              <w:bottom w:val="single" w:color="AACCDD" w:sz="4"/>
              <w:right w:val="single" w:color="AACCDD" w:sz="4"/>
            </w:tcBorders>
            <w:shd w:fill="EEF5F9" w:val="clear"/>
            <w:tcMar>
              <w:top w:type="dxa" w:w="80"/>
              <w:left w:type="dxa" w:w="120"/>
              <w:bottom w:type="dxa" w:w="80"/>
              <w:right w:type="dxa" w:w="120"/>
            </w:tcMar>
            <w:vAlign w:val="center"/>
          </w:tcPr>
          <w:p>
            <w:pPr>
              <w:spacing w:after="60" w:before="60"/>
              <w:jc w:val="left"/>
            </w:pPr>
            <w:r>
              <w:rPr>
                <w:b w:val="false"/>
                <w:bCs w:val="false"/>
                <w:color w:val="333333"/>
                <w:sz w:val="18"/>
                <w:szCs w:val="18"/>
              </w:rPr>
              <w:t xml:space="preserve">Event-Driven strategy</w:t>
            </w:r>
          </w:p>
        </w:tc>
      </w:tr>
      <w:tr>
        <w:tc>
          <w:tcPr>
            <w:tcW w:type="dxa" w:w="2400"/>
            <w:tcBorders>
              <w:top w:val="single" w:color="AACCDD" w:sz="4"/>
              <w:left w:val="single" w:color="AACCDD" w:sz="4"/>
              <w:bottom w:val="single" w:color="AACCDD" w:sz="4"/>
              <w:right w:val="single" w:color="AACCDD" w:sz="4"/>
            </w:tcBorders>
            <w:shd w:fill="FFFFFF" w:val="clear"/>
            <w:tcMar>
              <w:top w:type="dxa" w:w="80"/>
              <w:left w:type="dxa" w:w="120"/>
              <w:bottom w:type="dxa" w:w="80"/>
              <w:right w:type="dxa" w:w="120"/>
            </w:tcMar>
            <w:vAlign w:val="center"/>
          </w:tcPr>
          <w:p>
            <w:pPr>
              <w:spacing w:after="60" w:before="60"/>
              <w:jc w:val="left"/>
            </w:pPr>
            <w:r>
              <w:rPr>
                <w:b w:val="false"/>
                <w:bCs w:val="false"/>
                <w:color w:val="333333"/>
                <w:sz w:val="18"/>
                <w:szCs w:val="18"/>
              </w:rPr>
              <w:t xml:space="preserve">Fundamental Data</w:t>
            </w:r>
          </w:p>
        </w:tc>
        <w:tc>
          <w:tcPr>
            <w:tcW w:type="dxa" w:w="2600"/>
            <w:tcBorders>
              <w:top w:val="single" w:color="AACCDD" w:sz="4"/>
              <w:left w:val="single" w:color="AACCDD" w:sz="4"/>
              <w:bottom w:val="single" w:color="AACCDD" w:sz="4"/>
              <w:right w:val="single" w:color="AACCDD" w:sz="4"/>
            </w:tcBorders>
            <w:shd w:fill="FFFFFF" w:val="clear"/>
            <w:tcMar>
              <w:top w:type="dxa" w:w="80"/>
              <w:left w:type="dxa" w:w="120"/>
              <w:bottom w:type="dxa" w:w="80"/>
              <w:right w:type="dxa" w:w="120"/>
            </w:tcMar>
            <w:vAlign w:val="center"/>
          </w:tcPr>
          <w:p>
            <w:pPr>
              <w:spacing w:after="60" w:before="60"/>
              <w:jc w:val="left"/>
            </w:pPr>
            <w:r>
              <w:rPr>
                <w:b w:val="false"/>
                <w:bCs w:val="false"/>
                <w:color w:val="333333"/>
                <w:sz w:val="18"/>
                <w:szCs w:val="18"/>
              </w:rPr>
              <w:t xml:space="preserve">Alpha Vantage</w:t>
            </w:r>
          </w:p>
        </w:tc>
        <w:tc>
          <w:tcPr>
            <w:tcW w:type="dxa" w:w="1800"/>
            <w:tcBorders>
              <w:top w:val="single" w:color="AACCDD" w:sz="4"/>
              <w:left w:val="single" w:color="AACCDD" w:sz="4"/>
              <w:bottom w:val="single" w:color="AACCDD" w:sz="4"/>
              <w:right w:val="single" w:color="AACCDD" w:sz="4"/>
            </w:tcBorders>
            <w:shd w:fill="FFFFFF" w:val="clear"/>
            <w:tcMar>
              <w:top w:type="dxa" w:w="80"/>
              <w:left w:type="dxa" w:w="120"/>
              <w:bottom w:type="dxa" w:w="80"/>
              <w:right w:type="dxa" w:w="120"/>
            </w:tcMar>
            <w:vAlign w:val="center"/>
          </w:tcPr>
          <w:p>
            <w:pPr>
              <w:spacing w:after="60" w:before="60"/>
              <w:jc w:val="left"/>
            </w:pPr>
            <w:r>
              <w:rPr>
                <w:b w:val="false"/>
                <w:bCs w:val="false"/>
                <w:color w:val="333333"/>
                <w:sz w:val="18"/>
                <w:szCs w:val="18"/>
              </w:rPr>
              <w:t xml:space="preserve">2018–2026</w:t>
            </w:r>
          </w:p>
        </w:tc>
        <w:tc>
          <w:tcPr>
            <w:tcW w:type="dxa" w:w="3280"/>
            <w:tcBorders>
              <w:top w:val="single" w:color="AACCDD" w:sz="4"/>
              <w:left w:val="single" w:color="AACCDD" w:sz="4"/>
              <w:bottom w:val="single" w:color="AACCDD" w:sz="4"/>
              <w:right w:val="single" w:color="AACCDD" w:sz="4"/>
            </w:tcBorders>
            <w:shd w:fill="FFFFFF" w:val="clear"/>
            <w:tcMar>
              <w:top w:type="dxa" w:w="80"/>
              <w:left w:type="dxa" w:w="120"/>
              <w:bottom w:type="dxa" w:w="80"/>
              <w:right w:type="dxa" w:w="120"/>
            </w:tcMar>
            <w:vAlign w:val="center"/>
          </w:tcPr>
          <w:p>
            <w:pPr>
              <w:spacing w:after="60" w:before="60"/>
              <w:jc w:val="left"/>
            </w:pPr>
            <w:r>
              <w:rPr>
                <w:b w:val="false"/>
                <w:bCs w:val="false"/>
                <w:color w:val="333333"/>
                <w:sz w:val="18"/>
                <w:szCs w:val="18"/>
              </w:rPr>
              <w:t xml:space="preserve">Factor scoring</w:t>
            </w:r>
          </w:p>
        </w:tc>
      </w:tr>
      <w:tr>
        <w:tc>
          <w:tcPr>
            <w:tcW w:type="dxa" w:w="2400"/>
            <w:tcBorders>
              <w:top w:val="single" w:color="AACCDD" w:sz="4"/>
              <w:left w:val="single" w:color="AACCDD" w:sz="4"/>
              <w:bottom w:val="single" w:color="AACCDD" w:sz="4"/>
              <w:right w:val="single" w:color="AACCDD" w:sz="4"/>
            </w:tcBorders>
            <w:shd w:fill="EEF5F9" w:val="clear"/>
            <w:tcMar>
              <w:top w:type="dxa" w:w="80"/>
              <w:left w:type="dxa" w:w="120"/>
              <w:bottom w:type="dxa" w:w="80"/>
              <w:right w:type="dxa" w:w="120"/>
            </w:tcMar>
            <w:vAlign w:val="center"/>
          </w:tcPr>
          <w:p>
            <w:pPr>
              <w:spacing w:after="60" w:before="60"/>
              <w:jc w:val="left"/>
            </w:pPr>
            <w:r>
              <w:rPr>
                <w:b w:val="false"/>
                <w:bCs w:val="false"/>
                <w:color w:val="333333"/>
                <w:sz w:val="18"/>
                <w:szCs w:val="18"/>
              </w:rPr>
              <w:t xml:space="preserve">Benchmark</w:t>
            </w:r>
          </w:p>
        </w:tc>
        <w:tc>
          <w:tcPr>
            <w:tcW w:type="dxa" w:w="2600"/>
            <w:tcBorders>
              <w:top w:val="single" w:color="AACCDD" w:sz="4"/>
              <w:left w:val="single" w:color="AACCDD" w:sz="4"/>
              <w:bottom w:val="single" w:color="AACCDD" w:sz="4"/>
              <w:right w:val="single" w:color="AACCDD" w:sz="4"/>
            </w:tcBorders>
            <w:shd w:fill="EEF5F9" w:val="clear"/>
            <w:tcMar>
              <w:top w:type="dxa" w:w="80"/>
              <w:left w:type="dxa" w:w="120"/>
              <w:bottom w:type="dxa" w:w="80"/>
              <w:right w:type="dxa" w:w="120"/>
            </w:tcMar>
            <w:vAlign w:val="center"/>
          </w:tcPr>
          <w:p>
            <w:pPr>
              <w:spacing w:after="60" w:before="60"/>
              <w:jc w:val="left"/>
            </w:pPr>
            <w:r>
              <w:rPr>
                <w:b w:val="false"/>
                <w:bCs w:val="false"/>
                <w:color w:val="333333"/>
                <w:sz w:val="18"/>
                <w:szCs w:val="18"/>
              </w:rPr>
              <w:t xml:space="preserve">S&amp;P 500 (SPY ETF)</w:t>
            </w:r>
          </w:p>
        </w:tc>
        <w:tc>
          <w:tcPr>
            <w:tcW w:type="dxa" w:w="1800"/>
            <w:tcBorders>
              <w:top w:val="single" w:color="AACCDD" w:sz="4"/>
              <w:left w:val="single" w:color="AACCDD" w:sz="4"/>
              <w:bottom w:val="single" w:color="AACCDD" w:sz="4"/>
              <w:right w:val="single" w:color="AACCDD" w:sz="4"/>
            </w:tcBorders>
            <w:shd w:fill="EEF5F9" w:val="clear"/>
            <w:tcMar>
              <w:top w:type="dxa" w:w="80"/>
              <w:left w:type="dxa" w:w="120"/>
              <w:bottom w:type="dxa" w:w="80"/>
              <w:right w:type="dxa" w:w="120"/>
            </w:tcMar>
            <w:vAlign w:val="center"/>
          </w:tcPr>
          <w:p>
            <w:pPr>
              <w:spacing w:after="60" w:before="60"/>
              <w:jc w:val="left"/>
            </w:pPr>
            <w:r>
              <w:rPr>
                <w:b w:val="false"/>
                <w:bCs w:val="false"/>
                <w:color w:val="333333"/>
                <w:sz w:val="18"/>
                <w:szCs w:val="18"/>
              </w:rPr>
              <w:t xml:space="preserve">2018–2026</w:t>
            </w:r>
          </w:p>
        </w:tc>
        <w:tc>
          <w:tcPr>
            <w:tcW w:type="dxa" w:w="3280"/>
            <w:tcBorders>
              <w:top w:val="single" w:color="AACCDD" w:sz="4"/>
              <w:left w:val="single" w:color="AACCDD" w:sz="4"/>
              <w:bottom w:val="single" w:color="AACCDD" w:sz="4"/>
              <w:right w:val="single" w:color="AACCDD" w:sz="4"/>
            </w:tcBorders>
            <w:shd w:fill="EEF5F9" w:val="clear"/>
            <w:tcMar>
              <w:top w:type="dxa" w:w="80"/>
              <w:left w:type="dxa" w:w="120"/>
              <w:bottom w:type="dxa" w:w="80"/>
              <w:right w:type="dxa" w:w="120"/>
            </w:tcMar>
            <w:vAlign w:val="center"/>
          </w:tcPr>
          <w:p>
            <w:pPr>
              <w:spacing w:after="60" w:before="60"/>
              <w:jc w:val="left"/>
            </w:pPr>
            <w:r>
              <w:rPr>
                <w:b w:val="false"/>
                <w:bCs w:val="false"/>
                <w:color w:val="333333"/>
                <w:sz w:val="18"/>
                <w:szCs w:val="18"/>
              </w:rPr>
              <w:t xml:space="preserve">Performance comparison</w:t>
            </w:r>
          </w:p>
        </w:tc>
      </w:tr>
      <w:tr>
        <w:tc>
          <w:tcPr>
            <w:tcW w:type="dxa" w:w="2400"/>
            <w:tcBorders>
              <w:top w:val="single" w:color="AACCDD" w:sz="4"/>
              <w:left w:val="single" w:color="AACCDD" w:sz="4"/>
              <w:bottom w:val="single" w:color="AACCDD" w:sz="4"/>
              <w:right w:val="single" w:color="AACCDD" w:sz="4"/>
            </w:tcBorders>
            <w:shd w:fill="FFFFFF" w:val="clear"/>
            <w:tcMar>
              <w:top w:type="dxa" w:w="80"/>
              <w:left w:type="dxa" w:w="120"/>
              <w:bottom w:type="dxa" w:w="80"/>
              <w:right w:type="dxa" w:w="120"/>
            </w:tcMar>
            <w:vAlign w:val="center"/>
          </w:tcPr>
          <w:p>
            <w:pPr>
              <w:spacing w:after="60" w:before="60"/>
              <w:jc w:val="left"/>
            </w:pPr>
            <w:r>
              <w:rPr>
                <w:b w:val="false"/>
                <w:bCs w:val="false"/>
                <w:color w:val="333333"/>
                <w:sz w:val="18"/>
                <w:szCs w:val="18"/>
              </w:rPr>
              <w:t xml:space="preserve">VIX</w:t>
            </w:r>
          </w:p>
        </w:tc>
        <w:tc>
          <w:tcPr>
            <w:tcW w:type="dxa" w:w="2600"/>
            <w:tcBorders>
              <w:top w:val="single" w:color="AACCDD" w:sz="4"/>
              <w:left w:val="single" w:color="AACCDD" w:sz="4"/>
              <w:bottom w:val="single" w:color="AACCDD" w:sz="4"/>
              <w:right w:val="single" w:color="AACCDD" w:sz="4"/>
            </w:tcBorders>
            <w:shd w:fill="FFFFFF" w:val="clear"/>
            <w:tcMar>
              <w:top w:type="dxa" w:w="80"/>
              <w:left w:type="dxa" w:w="120"/>
              <w:bottom w:type="dxa" w:w="80"/>
              <w:right w:type="dxa" w:w="120"/>
            </w:tcMar>
            <w:vAlign w:val="center"/>
          </w:tcPr>
          <w:p>
            <w:pPr>
              <w:spacing w:after="60" w:before="60"/>
              <w:jc w:val="left"/>
            </w:pPr>
            <w:r>
              <w:rPr>
                <w:b w:val="false"/>
                <w:bCs w:val="false"/>
                <w:color w:val="333333"/>
                <w:sz w:val="18"/>
                <w:szCs w:val="18"/>
              </w:rPr>
              <w:t xml:space="preserve">CBOE VIX Index</w:t>
            </w:r>
          </w:p>
        </w:tc>
        <w:tc>
          <w:tcPr>
            <w:tcW w:type="dxa" w:w="1800"/>
            <w:tcBorders>
              <w:top w:val="single" w:color="AACCDD" w:sz="4"/>
              <w:left w:val="single" w:color="AACCDD" w:sz="4"/>
              <w:bottom w:val="single" w:color="AACCDD" w:sz="4"/>
              <w:right w:val="single" w:color="AACCDD" w:sz="4"/>
            </w:tcBorders>
            <w:shd w:fill="FFFFFF" w:val="clear"/>
            <w:tcMar>
              <w:top w:type="dxa" w:w="80"/>
              <w:left w:type="dxa" w:w="120"/>
              <w:bottom w:type="dxa" w:w="80"/>
              <w:right w:type="dxa" w:w="120"/>
            </w:tcMar>
            <w:vAlign w:val="center"/>
          </w:tcPr>
          <w:p>
            <w:pPr>
              <w:spacing w:after="60" w:before="60"/>
              <w:jc w:val="left"/>
            </w:pPr>
            <w:r>
              <w:rPr>
                <w:b w:val="false"/>
                <w:bCs w:val="false"/>
                <w:color w:val="333333"/>
                <w:sz w:val="18"/>
                <w:szCs w:val="18"/>
              </w:rPr>
              <w:t xml:space="preserve">2018–2026</w:t>
            </w:r>
          </w:p>
        </w:tc>
        <w:tc>
          <w:tcPr>
            <w:tcW w:type="dxa" w:w="3280"/>
            <w:tcBorders>
              <w:top w:val="single" w:color="AACCDD" w:sz="4"/>
              <w:left w:val="single" w:color="AACCDD" w:sz="4"/>
              <w:bottom w:val="single" w:color="AACCDD" w:sz="4"/>
              <w:right w:val="single" w:color="AACCDD" w:sz="4"/>
            </w:tcBorders>
            <w:shd w:fill="FFFFFF" w:val="clear"/>
            <w:tcMar>
              <w:top w:type="dxa" w:w="80"/>
              <w:left w:type="dxa" w:w="120"/>
              <w:bottom w:type="dxa" w:w="80"/>
              <w:right w:type="dxa" w:w="120"/>
            </w:tcMar>
            <w:vAlign w:val="center"/>
          </w:tcPr>
          <w:p>
            <w:pPr>
              <w:spacing w:after="60" w:before="60"/>
              <w:jc w:val="left"/>
            </w:pPr>
            <w:r>
              <w:rPr>
                <w:b w:val="false"/>
                <w:bCs w:val="false"/>
                <w:color w:val="333333"/>
                <w:sz w:val="18"/>
                <w:szCs w:val="18"/>
              </w:rPr>
              <w:t xml:space="preserve">Risk management</w:t>
            </w:r>
          </w:p>
        </w:tc>
      </w:tr>
    </w:tbl>
    <w:p>
      <w:pPr>
        <w:spacing w:after="120" w:before="0"/>
      </w:pPr>
    </w:p>
    <w:p>
      <w:pPr>
        <w:pStyle w:val="Heading2"/>
        <w:pBdr>
          <w:bottom w:val="single" w:color="2C4A8C" w:sz="6"/>
        </w:pBdr>
        <w:spacing w:after="100" w:before="200"/>
      </w:pPr>
      <w:r>
        <w:rPr>
          <w:b/>
          <w:bCs/>
          <w:color w:val="1a2744"/>
          <w:sz w:val="24"/>
          <w:szCs w:val="24"/>
        </w:rPr>
        <w:t xml:space="preserve">Survivorship Bias Note</w:t>
      </w:r>
    </w:p>
    <w:p>
      <w:pPr>
        <w:spacing w:after="60" w:before="60"/>
        <w:jc w:val="left"/>
      </w:pPr>
      <w:r>
        <w:rPr>
          <w:b w:val="false"/>
          <w:bCs w:val="false"/>
          <w:i w:val="false"/>
          <w:iCs w:val="false"/>
          <w:color w:val="333333"/>
          <w:sz w:val="20"/>
          <w:szCs w:val="20"/>
        </w:rPr>
        <w:t xml:space="preserve">The walk-forward backtests use Point-in-Time (PIT) stock universe construction. Stocks are only eligible for inclusion in each window if they were trading at the START of that window — preventing look-ahead bias from including stocks that only became prominent in hindsight.</w:t>
      </w:r>
    </w:p>
    <w:p>
      <w:pPr>
        <w:spacing w:after="120" w:before="0"/>
      </w:pPr>
    </w:p>
    <w:p>
      <w:pPr>
        <w:pStyle w:val="Heading2"/>
        <w:pBdr>
          <w:bottom w:val="single" w:color="2C4A8C" w:sz="6"/>
        </w:pBdr>
        <w:spacing w:after="100" w:before="200"/>
      </w:pPr>
      <w:r>
        <w:rPr>
          <w:b/>
          <w:bCs/>
          <w:color w:val="1a2744"/>
          <w:sz w:val="24"/>
          <w:szCs w:val="24"/>
        </w:rPr>
        <w:t xml:space="preserve">Walk-Forward Scripts</w:t>
      </w:r>
    </w:p>
    <w:p>
      <w:pPr>
        <w:pStyle w:val="ListParagraph"/>
        <w:numPr>
          <w:ilvl w:val="0"/>
          <w:numId w:val="2"/>
        </w:numPr>
        <w:spacing w:after="40" w:before="40"/>
      </w:pPr>
      <w:r>
        <w:rPr>
          <w:b w:val="false"/>
          <w:bCs w:val="false"/>
          <w:color w:val="333333"/>
          <w:sz w:val="20"/>
          <w:szCs w:val="20"/>
        </w:rPr>
        <w:t xml:space="preserve">Primary: scripts/walk_forward_v5_full.py</w:t>
      </w:r>
    </w:p>
    <w:p>
      <w:pPr>
        <w:pStyle w:val="ListParagraph"/>
        <w:numPr>
          <w:ilvl w:val="0"/>
          <w:numId w:val="2"/>
        </w:numPr>
        <w:spacing w:after="40" w:before="40"/>
      </w:pPr>
      <w:r>
        <w:rPr>
          <w:b w:val="false"/>
          <w:bCs w:val="false"/>
          <w:color w:val="333333"/>
          <w:sz w:val="20"/>
          <w:szCs w:val="20"/>
        </w:rPr>
        <w:t xml:space="preserve">Sensitivity Analysis: scripts/sensitivity_test.py</w:t>
      </w:r>
    </w:p>
    <w:p>
      <w:pPr>
        <w:pStyle w:val="ListParagraph"/>
        <w:numPr>
          <w:ilvl w:val="0"/>
          <w:numId w:val="2"/>
        </w:numPr>
        <w:spacing w:after="40" w:before="40"/>
      </w:pPr>
      <w:r>
        <w:rPr>
          <w:b w:val="false"/>
          <w:bCs w:val="false"/>
          <w:color w:val="333333"/>
          <w:sz w:val="20"/>
          <w:szCs w:val="20"/>
        </w:rPr>
        <w:t xml:space="preserve">Results: scripts/stress_test_results/ directory</w:t>
      </w:r>
    </w:p>
    <w:p>
      <w:pPr>
        <w:spacing w:after="160" w:before="0"/>
      </w:pPr>
    </w:p>
    <w:tbl>
      <w:tblPr>
        <w:tblW w:type="dxa" w:w="10080"/>
        <w:tblBorders>
          <w:top w:val="single" w:color="auto" w:sz="4"/>
          <w:left w:val="single" w:color="auto" w:sz="4"/>
          <w:bottom w:val="single" w:color="auto" w:sz="4"/>
          <w:right w:val="single" w:color="auto" w:sz="4"/>
          <w:insideH w:val="single" w:color="auto" w:sz="4"/>
          <w:insideV w:val="single" w:color="auto" w:sz="4"/>
        </w:tblBorders>
      </w:tblPr>
      <w:tblGrid>
        <w:gridCol w:w="10080"/>
      </w:tblGrid>
      <w:tr>
        <w:tc>
          <w:tcPr>
            <w:tcW w:type="dxa" w:w="10080"/>
            <w:tcBorders>
              <w:top w:val="none" w:color="FFFFFF" w:sz="0"/>
              <w:left w:val="none" w:color="FFFFFF" w:sz="0"/>
              <w:bottom w:val="none" w:color="FFFFFF" w:sz="0"/>
              <w:right w:val="none" w:color="FFFFFF" w:sz="0"/>
            </w:tcBorders>
            <w:shd w:fill="1a2744" w:val="clear"/>
            <w:tcMar>
              <w:top w:type="dxa" w:w="160"/>
              <w:left w:type="dxa" w:w="300"/>
              <w:bottom w:type="dxa" w:w="160"/>
              <w:right w:type="dxa" w:w="300"/>
            </w:tcMar>
          </w:tcPr>
          <w:p>
            <w:pPr>
              <w:spacing w:after="80" w:before="80"/>
            </w:pPr>
            <w:r>
              <w:rPr>
                <w:b/>
                <w:bCs/>
                <w:color w:val="FFFFFF"/>
                <w:sz w:val="22"/>
                <w:szCs w:val="22"/>
              </w:rPr>
              <w:t xml:space="preserve">CONTACT</w:t>
            </w:r>
          </w:p>
          <w:p>
            <w:pPr>
              <w:spacing w:after="40" w:before="40"/>
            </w:pPr>
            <w:r>
              <w:rPr>
                <w:color w:val="FFFFFF"/>
                <w:sz w:val="20"/>
                <w:szCs w:val="20"/>
              </w:rPr>
              <w:t xml:space="preserve">Pengyu Deng — Co-Founder &amp; CEO</w:t>
            </w:r>
          </w:p>
          <w:p>
            <w:pPr>
              <w:spacing w:after="40" w:before="40"/>
            </w:pPr>
            <w:r>
              <w:rPr>
                <w:color w:val="A8C8E8"/>
                <w:sz w:val="20"/>
                <w:szCs w:val="20"/>
              </w:rPr>
              <w:t xml:space="preserve">Stockqueen Technology Pty Ltd</w:t>
            </w:r>
          </w:p>
          <w:p>
            <w:pPr>
              <w:spacing w:after="80" w:before="40"/>
            </w:pPr>
            <w:r>
              <w:rPr>
                <w:color w:val="A8C8E8"/>
                <w:sz w:val="20"/>
                <w:szCs w:val="20"/>
              </w:rPr>
              <w:t xml:space="preserve">Website: stockqueen.tech</w:t>
            </w:r>
          </w:p>
        </w:tc>
      </w:tr>
    </w:tbl>
    <w:p>
      <w:pPr>
        <w:spacing w:after="120" w:before="0"/>
      </w:pPr>
    </w:p>
    <w:p>
      <w:pPr>
        <w:spacing w:after="80" w:before="80"/>
        <w:jc w:val="center"/>
      </w:pPr>
      <w:r>
        <w:rPr>
          <w:b/>
          <w:bCs/>
          <w:color w:val="888888"/>
          <w:sz w:val="18"/>
          <w:szCs w:val="18"/>
        </w:rPr>
        <w:t xml:space="preserve">PRIVATE &amp; CONFIDENTIAL — March 2026</w:t>
      </w:r>
    </w:p>
    <w:sectPr>
      <w:footerReference w:type="default" r:id="rId8"/>
      <w:pgSz w:w="12240" w:h="15840" w:orient="portrait"/>
      <w:pgMar w:top="1080" w:right="1080" w:bottom="1440" w:left="108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pBdr>
        <w:top w:val="single" w:color="CCCCCC" w:sz="4"/>
      </w:pBdr>
      <w:spacing w:before="80"/>
      <w:jc w:val="center"/>
    </w:pPr>
    <w:r>
      <w:rPr>
        <w:color w:val="888888"/>
        <w:sz w:val="16"/>
        <w:szCs w:val="16"/>
      </w:rPr>
      <w:t xml:space="preserve">PRIVATE &amp; CONFIDENTIAL  —  Stockqueen Technology Data Pack  —  March 2026  |  Page </w:t>
    </w:r>
    <w:fldSimple w:instr="PAGE"/>
  </w:p>
</w:ftr>
</file>

<file path=word/footer2.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pBdr>
        <w:top w:val="single" w:color="CCCCCC" w:sz="4"/>
      </w:pBdr>
      <w:spacing w:before="80"/>
      <w:jc w:val="center"/>
    </w:pPr>
    <w:r>
      <w:rPr>
        <w:color w:val="888888"/>
        <w:sz w:val="16"/>
        <w:szCs w:val="16"/>
      </w:rPr>
      <w:t xml:space="preserve">PRIVATE &amp; CONFIDENTIAL  —  Stockqueen Technology Data Pack  —  March 2026  |  Page </w:t>
    </w:r>
    <w:fldSimple w:instr="PAGE"/>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pPr>
        <w:ind w:left="360" w:hanging="180"/>
      </w:pPr>
      <w:rPr>
        <w:rFonts w:ascii="Symbol" w:cs="Symbol" w:eastAsia="Symbol" w:hAnsi="Symbol"/>
        <w:sz w:val="20"/>
        <w:szCs w:val="20"/>
      </w:rPr>
    </w:lvl>
  </w:abstractNum>
  <w:num w:numId="1">
    <w:abstractNumId w:val="1"/>
    <w:lvlOverride w:ilvl="0">
      <w:startOverride w:val="1"/>
    </w:lvlOverride>
  </w:num>
  <w:num w:numId="2">
    <w:abstractNumId w:val="2"/>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 w:type="paragraph" w:styleId="Heading1">
    <w:name w:val="Heading 1"/>
    <w:basedOn w:val="Normal"/>
    <w:qFormat/>
    <w:pPr>
      <w:spacing w:after="160" w:before="280"/>
      <w:outlineLvl w:val="0"/>
    </w:pPr>
    <w:rPr>
      <w:rFonts w:ascii="Calibri" w:cs="Calibri" w:eastAsia="Calibri" w:hAnsi="Calibri"/>
      <w:b/>
      <w:bCs/>
      <w:color w:val="FFFFFF"/>
      <w:sz w:val="32"/>
      <w:szCs w:val="32"/>
    </w:rPr>
  </w:style>
  <w:style w:type="paragraph" w:styleId="Heading2">
    <w:name w:val="Heading 2"/>
    <w:basedOn w:val="Normal"/>
    <w:qFormat/>
    <w:pPr>
      <w:spacing w:after="100" w:before="200"/>
      <w:outlineLvl w:val="1"/>
    </w:pPr>
    <w:rPr>
      <w:rFonts w:ascii="Calibri" w:cs="Calibri" w:eastAsia="Calibri" w:hAnsi="Calibri"/>
      <w:b/>
      <w:bCs/>
      <w:color w:val="1a2744"/>
      <w:sz w:val="24"/>
      <w:szCs w:val="24"/>
    </w:rPr>
  </w:style>
  <w:style w:type="paragraph" w:styleId="Normal">
    <w:name w:val="Normal"/>
    <w:pPr>
      <w:spacing w:after="60" w:before="60"/>
    </w:pPr>
    <w:rPr>
      <w:rFonts w:ascii="Calibri" w:cs="Calibri" w:eastAsia="Calibri" w:hAnsi="Calibri"/>
      <w:color w:val="333333"/>
      <w:sz w:val="20"/>
      <w:szCs w:val="20"/>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footer" Target="footer1.xml"/><Relationship Id="rId8" Type="http://schemas.openxmlformats.org/officeDocument/2006/relationships/footer" Target="footer2.xml"/><Relationship Id="rId9"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er2.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2026-03-21T06:34:13.465Z</dcterms:created>
  <dcterms:modified xsi:type="dcterms:W3CDTF">2026-03-21T06:34:13.466Z</dcterms:modified>
</cp:coreProperties>
</file>

<file path=docProps/custom.xml><?xml version="1.0" encoding="utf-8"?>
<Properties xmlns="http://schemas.openxmlformats.org/officeDocument/2006/custom-properties" xmlns:vt="http://schemas.openxmlformats.org/officeDocument/2006/docPropsVTypes"/>
</file>