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46107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EOMRPX使用手册</w:t>
      </w:r>
    </w:p>
    <w:p w14:paraId="1A8D088B">
      <w:pPr>
        <w:pStyle w:val="2"/>
        <w:bidi w:val="0"/>
        <w:rPr>
          <w:rFonts w:hint="eastAsia"/>
          <w:lang w:val="en-US" w:eastAsia="zh-CN"/>
        </w:rPr>
      </w:pPr>
    </w:p>
    <w:p w14:paraId="3299BF08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</w:t>
      </w:r>
    </w:p>
    <w:p w14:paraId="06813235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产品是对现有资源的定义。包含大类，小类、名称、规格、尺寸、单位、包装数量。包装数量为初始值，入库之后的货物包装数量以实际批次为准</w:t>
      </w:r>
      <w:bookmarkStart w:id="0" w:name="_GoBack"/>
      <w:bookmarkEnd w:id="0"/>
      <w:r>
        <w:rPr>
          <w:rFonts w:hint="eastAsia"/>
          <w:lang w:val="en-US" w:eastAsia="zh-CN"/>
        </w:rPr>
        <w:t>。每个产品都可以包含其他产品作为部件，部件定义为一种工艺流程，即包含的部件仅用来生产。</w:t>
      </w:r>
    </w:p>
    <w:p w14:paraId="00939668">
      <w:pPr>
        <w:pStyle w:val="2"/>
        <w:bidi w:val="0"/>
        <w:rPr>
          <w:rFonts w:hint="eastAsia"/>
          <w:lang w:val="en-US" w:eastAsia="zh-CN"/>
        </w:rPr>
      </w:pPr>
    </w:p>
    <w:p w14:paraId="0244AC8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货物</w:t>
      </w:r>
    </w:p>
    <w:p w14:paraId="582AF001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货物是对库存商品的定义</w:t>
      </w:r>
    </w:p>
    <w:p w14:paraId="337D2526">
      <w:pPr>
        <w:pStyle w:val="2"/>
        <w:bidi w:val="0"/>
        <w:rPr>
          <w:rFonts w:hint="eastAsia"/>
          <w:lang w:val="en-US" w:eastAsia="zh-CN"/>
        </w:rPr>
      </w:pPr>
    </w:p>
    <w:p w14:paraId="58F7CE9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采购入库单</w:t>
      </w:r>
    </w:p>
    <w:p w14:paraId="24B8CAC8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将采购和入库合二为一，可实现从采购单创建到产品明细入库全流程管理。具体流程如下：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9"/>
        <w:gridCol w:w="4950"/>
        <w:gridCol w:w="1673"/>
      </w:tblGrid>
      <w:tr w14:paraId="2AD7D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19CB0FF6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流程节点</w:t>
            </w:r>
          </w:p>
        </w:tc>
        <w:tc>
          <w:tcPr>
            <w:tcW w:w="4950" w:type="dxa"/>
          </w:tcPr>
          <w:p w14:paraId="6C751820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功能说明</w:t>
            </w:r>
          </w:p>
        </w:tc>
        <w:tc>
          <w:tcPr>
            <w:tcW w:w="1673" w:type="dxa"/>
          </w:tcPr>
          <w:p w14:paraId="66CE24D5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角色</w:t>
            </w:r>
          </w:p>
        </w:tc>
      </w:tr>
      <w:tr w14:paraId="6C6F6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72D8DB73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新建</w:t>
            </w:r>
          </w:p>
        </w:tc>
        <w:tc>
          <w:tcPr>
            <w:tcW w:w="4950" w:type="dxa"/>
          </w:tcPr>
          <w:p w14:paraId="475A1CBE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新建采购入库单，可以从采购计划直接导入。如有必要创建合同。</w:t>
            </w:r>
          </w:p>
        </w:tc>
        <w:tc>
          <w:tcPr>
            <w:tcW w:w="1673" w:type="dxa"/>
          </w:tcPr>
          <w:p w14:paraId="46339DF4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</w:t>
            </w:r>
          </w:p>
        </w:tc>
      </w:tr>
      <w:tr w14:paraId="734EF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21D465D2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4950" w:type="dxa"/>
          </w:tcPr>
          <w:p w14:paraId="347607AA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采购主管进行审核。</w:t>
            </w:r>
          </w:p>
        </w:tc>
        <w:tc>
          <w:tcPr>
            <w:tcW w:w="1673" w:type="dxa"/>
          </w:tcPr>
          <w:p w14:paraId="4D1E2BD4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主管</w:t>
            </w:r>
          </w:p>
        </w:tc>
      </w:tr>
      <w:tr w14:paraId="1AC2D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6A928C27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核准</w:t>
            </w:r>
          </w:p>
        </w:tc>
        <w:tc>
          <w:tcPr>
            <w:tcW w:w="4950" w:type="dxa"/>
          </w:tcPr>
          <w:p w14:paraId="301F6550">
            <w:pPr>
              <w:pStyle w:val="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抄送财务对清单和价格进行二次确认，核准之后采购才能进行实际下单操作，包括合同签订（另走合同功能流程）。产生应付账款（财务模块）。一旦核准流程不能退回，只能交由主管进行作废。</w:t>
            </w:r>
          </w:p>
          <w:p w14:paraId="193FD83E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核准时可对产品明细进行二次修正。</w:t>
            </w:r>
          </w:p>
        </w:tc>
        <w:tc>
          <w:tcPr>
            <w:tcW w:w="1673" w:type="dxa"/>
          </w:tcPr>
          <w:p w14:paraId="089A9B86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财务</w:t>
            </w:r>
          </w:p>
        </w:tc>
      </w:tr>
      <w:tr w14:paraId="5A200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092DCDD6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发货</w:t>
            </w:r>
          </w:p>
        </w:tc>
        <w:tc>
          <w:tcPr>
            <w:tcW w:w="4950" w:type="dxa"/>
          </w:tcPr>
          <w:p w14:paraId="42F09F1C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采购进行实际下单操作，填写物流信息，当供应商发货之后，采购单进入发货状态，如需付款走财务付款功能流程。</w:t>
            </w:r>
          </w:p>
        </w:tc>
        <w:tc>
          <w:tcPr>
            <w:tcW w:w="1673" w:type="dxa"/>
          </w:tcPr>
          <w:p w14:paraId="166870C0">
            <w:pPr>
              <w:pStyle w:val="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</w:t>
            </w:r>
          </w:p>
        </w:tc>
      </w:tr>
      <w:tr w14:paraId="3DD43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37C9BAD8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收货</w:t>
            </w:r>
          </w:p>
        </w:tc>
        <w:tc>
          <w:tcPr>
            <w:tcW w:w="4950" w:type="dxa"/>
          </w:tcPr>
          <w:p w14:paraId="6FD8B4A8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由仓储人员对收货进行确认，如多个包裹，可分多次对产品明细进行入库，但每次入库必须是单一的记录，如单一明细拆分多个物流包裹，则需要手工处理统一入库。一旦入库该明细记录将被锁定，如需变更则走库存整理功能流程。</w:t>
            </w:r>
          </w:p>
        </w:tc>
        <w:tc>
          <w:tcPr>
            <w:tcW w:w="1673" w:type="dxa"/>
          </w:tcPr>
          <w:p w14:paraId="771C4863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仓储</w:t>
            </w:r>
          </w:p>
        </w:tc>
      </w:tr>
      <w:tr w14:paraId="72C4E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1A8662CD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确认</w:t>
            </w:r>
          </w:p>
        </w:tc>
        <w:tc>
          <w:tcPr>
            <w:tcW w:w="4950" w:type="dxa"/>
          </w:tcPr>
          <w:p w14:paraId="224765F2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采购进行最终确认，采购入库单完成，进入归档状态。所有信息冻结，不再被修改。（超级管理员可以对单据信息进行修正，无法对明细变更）</w:t>
            </w:r>
          </w:p>
        </w:tc>
        <w:tc>
          <w:tcPr>
            <w:tcW w:w="1673" w:type="dxa"/>
          </w:tcPr>
          <w:p w14:paraId="69997971">
            <w:pPr>
              <w:pStyle w:val="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采购</w:t>
            </w:r>
          </w:p>
        </w:tc>
      </w:tr>
      <w:tr w14:paraId="5C5E1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5DE80DD0">
            <w:pPr>
              <w:pStyle w:val="2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4950" w:type="dxa"/>
          </w:tcPr>
          <w:p w14:paraId="4937766D">
            <w:pPr>
              <w:pStyle w:val="2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1673" w:type="dxa"/>
          </w:tcPr>
          <w:p w14:paraId="22AC4E40">
            <w:pPr>
              <w:pStyle w:val="2"/>
              <w:bidi w:val="0"/>
              <w:rPr>
                <w:rFonts w:hint="eastAsia"/>
                <w:lang w:val="en-US" w:eastAsia="zh-CN"/>
              </w:rPr>
            </w:pPr>
          </w:p>
        </w:tc>
      </w:tr>
    </w:tbl>
    <w:p w14:paraId="3CB7D059">
      <w:pPr>
        <w:pStyle w:val="2"/>
        <w:bidi w:val="0"/>
        <w:rPr>
          <w:rFonts w:hint="eastAsia"/>
          <w:lang w:val="en-US" w:eastAsia="zh-CN"/>
        </w:rPr>
      </w:pPr>
    </w:p>
    <w:p w14:paraId="2359DD6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入库产品明细</w:t>
      </w:r>
    </w:p>
    <w:p w14:paraId="602A16F5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产品入库有三种方式，采购、退货、盘库。采购是正常的入库方式，通过采购单进行管理。退货是销售出库之后再次入库，对应的是销售单。盘库类似后台直接添加，对应库存调整单。产品入库明细无论采用哪种方式，都存储在一张表中，便于检索和统计。</w:t>
      </w:r>
    </w:p>
    <w:p w14:paraId="76F7A9F6">
      <w:pPr>
        <w:pStyle w:val="2"/>
        <w:bidi w:val="0"/>
        <w:rPr>
          <w:rFonts w:hint="default"/>
          <w:lang w:val="en-US" w:eastAsia="zh-CN"/>
        </w:rPr>
      </w:pPr>
    </w:p>
    <w:p w14:paraId="1F13B860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库存中以整套包装形式存储，包装数量即为当前批次库存货物的剩余数量</w:t>
      </w:r>
    </w:p>
    <w:p w14:paraId="3E81E19F">
      <w:pPr>
        <w:pStyle w:val="2"/>
        <w:bidi w:val="0"/>
        <w:rPr>
          <w:rFonts w:hint="default"/>
          <w:lang w:val="en-US" w:eastAsia="zh-CN"/>
        </w:rPr>
      </w:pPr>
    </w:p>
    <w:p w14:paraId="08D1BAE3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每次对库存明细进行变更，插入一条变更记录，并同时统计产品库存数量和库存总价（累加）</w:t>
      </w:r>
    </w:p>
    <w:p w14:paraId="32A6C6D8">
      <w:pPr>
        <w:pStyle w:val="2"/>
        <w:bidi w:val="0"/>
        <w:rPr>
          <w:rFonts w:hint="default"/>
          <w:lang w:val="en-US" w:eastAsia="zh-CN"/>
        </w:rPr>
      </w:pPr>
    </w:p>
    <w:p w14:paraId="64D8B39F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产品编码 = 2大类编码 + 0 + 4小类编码 + 7位产品编号</w:t>
      </w:r>
    </w:p>
    <w:p w14:paraId="278AF6F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库存明细 = 6位日期 + 5位顺序号 + </w:t>
      </w:r>
      <w:r>
        <w:rPr>
          <w:rFonts w:hint="default"/>
          <w:lang w:val="en-US" w:eastAsia="zh-CN"/>
        </w:rPr>
        <w:t>7位产品编号</w:t>
      </w:r>
    </w:p>
    <w:p w14:paraId="03D7A068">
      <w:pPr>
        <w:pStyle w:val="2"/>
        <w:bidi w:val="0"/>
        <w:rPr>
          <w:rFonts w:hint="default"/>
          <w:lang w:val="en-US" w:eastAsia="zh-CN"/>
        </w:rPr>
      </w:pPr>
    </w:p>
    <w:p w14:paraId="3A953CA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拆库</w:t>
      </w:r>
    </w:p>
    <w:p w14:paraId="35D0E30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当前批次的货物存在包装数量大于1，比如一包电池，编为一个库存编号，但是整包含有6节，在生产和销售的过程中，可能并不需要整包，单独处理其中几节，则可以将一个编号的整包电池，拆分为一个新的批次的库存编号，原有剩余的批次编号不变，包装数量减少。</w:t>
      </w:r>
    </w:p>
    <w:p w14:paraId="33DC2C3E">
      <w:pPr>
        <w:pStyle w:val="2"/>
        <w:bidi w:val="0"/>
        <w:rPr>
          <w:rFonts w:hint="default"/>
          <w:lang w:val="en-US" w:eastAsia="zh-CN"/>
        </w:rPr>
      </w:pPr>
    </w:p>
    <w:p w14:paraId="016830C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并库</w:t>
      </w:r>
    </w:p>
    <w:p w14:paraId="48C7B13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和拆库相反，可以将相同品名规格的不同批次的货物进行打包，合并成一个新的批次的货物，品名规格不变，仅仅包装数量相加，原有的批次货物进行出库处理。</w:t>
      </w:r>
    </w:p>
    <w:p w14:paraId="2BEEEC20">
      <w:pPr>
        <w:pStyle w:val="2"/>
        <w:bidi w:val="0"/>
        <w:rPr>
          <w:rFonts w:hint="eastAsia"/>
          <w:lang w:val="en-US" w:eastAsia="zh-CN"/>
        </w:rPr>
      </w:pPr>
    </w:p>
    <w:p w14:paraId="195F0B6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占用</w:t>
      </w:r>
    </w:p>
    <w:p w14:paraId="2CC44449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占用是对库存货物进行一种用途标记，即该货物被用作非销售用途，并标记占用对象，便于管理查询。占用包括生产、借用、备件、演示、研发、损坏等。</w:t>
      </w:r>
    </w:p>
    <w:p w14:paraId="0689B508">
      <w:pPr>
        <w:pStyle w:val="2"/>
        <w:bidi w:val="0"/>
        <w:rPr>
          <w:rFonts w:hint="eastAsia"/>
          <w:lang w:val="en-US" w:eastAsia="zh-CN"/>
        </w:rPr>
      </w:pPr>
    </w:p>
    <w:p w14:paraId="3777CE7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生产</w:t>
      </w:r>
    </w:p>
    <w:p w14:paraId="26E3D57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具有工艺流程（包含部件的产品）的货物，可以由库存的货物加工而成形成新的批次的货物，部件货物进行出库处理，不再单独列出。生产之前需领取物料</w:t>
      </w:r>
    </w:p>
    <w:p w14:paraId="2B30036B">
      <w:pPr>
        <w:pStyle w:val="2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7D33A4"/>
    <w:rsid w:val="0241242E"/>
    <w:rsid w:val="237A1B98"/>
    <w:rsid w:val="2C721501"/>
    <w:rsid w:val="335A6E49"/>
    <w:rsid w:val="36163429"/>
    <w:rsid w:val="3C092B06"/>
    <w:rsid w:val="3FC339B0"/>
    <w:rsid w:val="42AA7555"/>
    <w:rsid w:val="42E05394"/>
    <w:rsid w:val="4CFC6B1B"/>
    <w:rsid w:val="577D33A4"/>
    <w:rsid w:val="59BB39CD"/>
    <w:rsid w:val="614B5D49"/>
    <w:rsid w:val="655926E2"/>
    <w:rsid w:val="6B6F1F5A"/>
    <w:rsid w:val="6E4A2E2B"/>
    <w:rsid w:val="6EE2160D"/>
    <w:rsid w:val="746F3388"/>
    <w:rsid w:val="76DB438D"/>
    <w:rsid w:val="770F524C"/>
    <w:rsid w:val="7F070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spacing w:after="120" w:afterLines="0" w:afterAutospacing="0"/>
    </w:pPr>
  </w:style>
  <w:style w:type="paragraph" w:styleId="3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688</Words>
  <Characters>693</Characters>
  <Lines>0</Lines>
  <Paragraphs>0</Paragraphs>
  <TotalTime>21</TotalTime>
  <ScaleCrop>false</ScaleCrop>
  <LinksUpToDate>false</LinksUpToDate>
  <CharactersWithSpaces>707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2025-09-12T03:18:00Z</dcterms:created>
  <dc:creator>hjx</dc:creator>
  <cp:lastModifiedBy>hjx</cp:lastModifiedBy>
  <dcterms:modified xsi:type="dcterms:W3CDTF">2026-02-10T08:03:15Z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D62CF9FB9C2B4A69932CE0530730C80A_11</vt:lpwstr>
  </property>
  <property fmtid="{D5CDD505-2E9C-101B-9397-08002B2CF9AE}" pid="4" name="KSOTemplateDocerSaveRecord">
    <vt:lpwstr>eyJoZGlkIjoiMDIyM2MzYzE3N2U3NGZkZWVkYWQ1ZTAwMDBmZjMxZWEiLCJ1c2VySWQiOiIxMDU5OTIxMzk5In0=</vt:lpwstr>
  </property>
</Properties>
</file>