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A461076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EOMRPX使用手册</w:t>
      </w:r>
    </w:p>
    <w:p w14:paraId="58F7CE93">
      <w:pPr>
        <w:pStyle w:val="3"/>
        <w:bidi w:val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采购入库单</w:t>
      </w:r>
    </w:p>
    <w:p w14:paraId="24B8CAC8">
      <w:pPr>
        <w:pStyle w:val="2"/>
        <w:bidi w:val="0"/>
        <w:rPr>
          <w:rFonts w:hint="eastAsia" w:ascii="微软雅黑" w:hAnsi="微软雅黑" w:eastAsia="微软雅黑" w:cs="微软雅黑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sz w:val="24"/>
          <w:szCs w:val="24"/>
          <w:lang w:val="en-US" w:eastAsia="zh-CN"/>
        </w:rPr>
        <w:t>将采购和入库合二为一，可实现从采购单创建到产品明细入库全流程管理。具体流程如下：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99"/>
        <w:gridCol w:w="4950"/>
        <w:gridCol w:w="1673"/>
      </w:tblGrid>
      <w:tr w14:paraId="2AD7D4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99" w:type="dxa"/>
          </w:tcPr>
          <w:p w14:paraId="19CB0FF6">
            <w:pPr>
              <w:pStyle w:val="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center"/>
              <w:textAlignment w:val="auto"/>
              <w:rPr>
                <w:rFonts w:hint="default" w:ascii="微软雅黑" w:hAnsi="微软雅黑" w:eastAsia="微软雅黑" w:cs="微软雅黑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vertAlign w:val="baseline"/>
                <w:lang w:val="en-US" w:eastAsia="zh-CN"/>
              </w:rPr>
              <w:t>流程节点</w:t>
            </w:r>
          </w:p>
        </w:tc>
        <w:tc>
          <w:tcPr>
            <w:tcW w:w="4950" w:type="dxa"/>
          </w:tcPr>
          <w:p w14:paraId="6C751820">
            <w:pPr>
              <w:pStyle w:val="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center"/>
              <w:textAlignment w:val="auto"/>
              <w:rPr>
                <w:rFonts w:hint="default" w:ascii="微软雅黑" w:hAnsi="微软雅黑" w:eastAsia="微软雅黑" w:cs="微软雅黑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vertAlign w:val="baseline"/>
                <w:lang w:val="en-US" w:eastAsia="zh-CN"/>
              </w:rPr>
              <w:t>功能说明</w:t>
            </w:r>
          </w:p>
        </w:tc>
        <w:tc>
          <w:tcPr>
            <w:tcW w:w="1673" w:type="dxa"/>
          </w:tcPr>
          <w:p w14:paraId="66CE24D5">
            <w:pPr>
              <w:pStyle w:val="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center"/>
              <w:textAlignment w:val="auto"/>
              <w:rPr>
                <w:rFonts w:hint="default" w:ascii="微软雅黑" w:hAnsi="微软雅黑" w:eastAsia="微软雅黑" w:cs="微软雅黑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vertAlign w:val="baseline"/>
                <w:lang w:val="en-US" w:eastAsia="zh-CN"/>
              </w:rPr>
              <w:t>角色</w:t>
            </w:r>
          </w:p>
        </w:tc>
      </w:tr>
      <w:tr w14:paraId="6C6F63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99" w:type="dxa"/>
          </w:tcPr>
          <w:p w14:paraId="72D8DB73">
            <w:pPr>
              <w:pStyle w:val="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textAlignment w:val="auto"/>
              <w:rPr>
                <w:rFonts w:hint="default" w:ascii="微软雅黑" w:hAnsi="微软雅黑" w:eastAsia="微软雅黑" w:cs="微软雅黑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vertAlign w:val="baseline"/>
                <w:lang w:val="en-US" w:eastAsia="zh-CN"/>
              </w:rPr>
              <w:t>新建</w:t>
            </w:r>
          </w:p>
        </w:tc>
        <w:tc>
          <w:tcPr>
            <w:tcW w:w="4950" w:type="dxa"/>
          </w:tcPr>
          <w:p w14:paraId="475A1CBE">
            <w:pPr>
              <w:pStyle w:val="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textAlignment w:val="auto"/>
              <w:rPr>
                <w:rFonts w:hint="default" w:ascii="微软雅黑" w:hAnsi="微软雅黑" w:eastAsia="微软雅黑" w:cs="微软雅黑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vertAlign w:val="baseline"/>
                <w:lang w:val="en-US" w:eastAsia="zh-CN"/>
              </w:rPr>
              <w:t>新建采购入库单，可以从采购计划直接导入。如有必要创建合同。</w:t>
            </w:r>
          </w:p>
        </w:tc>
        <w:tc>
          <w:tcPr>
            <w:tcW w:w="1673" w:type="dxa"/>
          </w:tcPr>
          <w:p w14:paraId="46339DF4">
            <w:pPr>
              <w:pStyle w:val="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textAlignment w:val="auto"/>
              <w:rPr>
                <w:rFonts w:hint="default" w:ascii="微软雅黑" w:hAnsi="微软雅黑" w:eastAsia="微软雅黑" w:cs="微软雅黑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vertAlign w:val="baseline"/>
                <w:lang w:val="en-US" w:eastAsia="zh-CN"/>
              </w:rPr>
              <w:t>采购</w:t>
            </w:r>
          </w:p>
        </w:tc>
      </w:tr>
      <w:tr w14:paraId="734EF3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99" w:type="dxa"/>
          </w:tcPr>
          <w:p w14:paraId="21D465D2">
            <w:pPr>
              <w:pStyle w:val="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textAlignment w:val="auto"/>
              <w:rPr>
                <w:rFonts w:hint="default" w:ascii="微软雅黑" w:hAnsi="微软雅黑" w:eastAsia="微软雅黑" w:cs="微软雅黑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vertAlign w:val="baseline"/>
                <w:lang w:val="en-US" w:eastAsia="zh-CN"/>
              </w:rPr>
              <w:t>审核</w:t>
            </w:r>
          </w:p>
        </w:tc>
        <w:tc>
          <w:tcPr>
            <w:tcW w:w="4950" w:type="dxa"/>
          </w:tcPr>
          <w:p w14:paraId="347607AA">
            <w:pPr>
              <w:pStyle w:val="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textAlignment w:val="auto"/>
              <w:rPr>
                <w:rFonts w:hint="default" w:ascii="微软雅黑" w:hAnsi="微软雅黑" w:eastAsia="微软雅黑" w:cs="微软雅黑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vertAlign w:val="baseline"/>
                <w:lang w:val="en-US" w:eastAsia="zh-CN"/>
              </w:rPr>
              <w:t>采购主管进行审核。</w:t>
            </w:r>
          </w:p>
        </w:tc>
        <w:tc>
          <w:tcPr>
            <w:tcW w:w="1673" w:type="dxa"/>
          </w:tcPr>
          <w:p w14:paraId="4D1E2BD4">
            <w:pPr>
              <w:pStyle w:val="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textAlignment w:val="auto"/>
              <w:rPr>
                <w:rFonts w:hint="default" w:ascii="微软雅黑" w:hAnsi="微软雅黑" w:eastAsia="微软雅黑" w:cs="微软雅黑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vertAlign w:val="baseline"/>
                <w:lang w:val="en-US" w:eastAsia="zh-CN"/>
              </w:rPr>
              <w:t>主管</w:t>
            </w:r>
          </w:p>
        </w:tc>
      </w:tr>
      <w:tr w14:paraId="1AC2D4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99" w:type="dxa"/>
          </w:tcPr>
          <w:p w14:paraId="6A928C27">
            <w:pPr>
              <w:pStyle w:val="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textAlignment w:val="auto"/>
              <w:rPr>
                <w:rFonts w:hint="default" w:ascii="微软雅黑" w:hAnsi="微软雅黑" w:eastAsia="微软雅黑" w:cs="微软雅黑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vertAlign w:val="baseline"/>
                <w:lang w:val="en-US" w:eastAsia="zh-CN"/>
              </w:rPr>
              <w:t>核准</w:t>
            </w:r>
          </w:p>
        </w:tc>
        <w:tc>
          <w:tcPr>
            <w:tcW w:w="4950" w:type="dxa"/>
          </w:tcPr>
          <w:p w14:paraId="301F6550">
            <w:pPr>
              <w:pStyle w:val="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textAlignment w:val="auto"/>
              <w:rPr>
                <w:rFonts w:hint="eastAsia" w:ascii="微软雅黑" w:hAnsi="微软雅黑" w:eastAsia="微软雅黑" w:cs="微软雅黑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vertAlign w:val="baseline"/>
                <w:lang w:val="en-US" w:eastAsia="zh-CN"/>
              </w:rPr>
              <w:t>抄送财务对清单和价格进行二次确认，核准之后采购才能进行实际下单操作，包括合同签订（另走合同功能流程）。产生应付账款（财务模块）。一旦核准流程不能退回，只能交由主管进行作废。</w:t>
            </w:r>
          </w:p>
          <w:p w14:paraId="193FD83E">
            <w:pPr>
              <w:pStyle w:val="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textAlignment w:val="auto"/>
              <w:rPr>
                <w:rFonts w:hint="default" w:ascii="微软雅黑" w:hAnsi="微软雅黑" w:eastAsia="微软雅黑" w:cs="微软雅黑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vertAlign w:val="baseline"/>
                <w:lang w:val="en-US" w:eastAsia="zh-CN"/>
              </w:rPr>
              <w:t>核准时可对产品明细进行二次修正。</w:t>
            </w:r>
          </w:p>
        </w:tc>
        <w:tc>
          <w:tcPr>
            <w:tcW w:w="1673" w:type="dxa"/>
          </w:tcPr>
          <w:p w14:paraId="089A9B86">
            <w:pPr>
              <w:pStyle w:val="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textAlignment w:val="auto"/>
              <w:rPr>
                <w:rFonts w:hint="default" w:ascii="微软雅黑" w:hAnsi="微软雅黑" w:eastAsia="微软雅黑" w:cs="微软雅黑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vertAlign w:val="baseline"/>
                <w:lang w:val="en-US" w:eastAsia="zh-CN"/>
              </w:rPr>
              <w:t>财务</w:t>
            </w:r>
          </w:p>
        </w:tc>
      </w:tr>
      <w:tr w14:paraId="5A2007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99" w:type="dxa"/>
          </w:tcPr>
          <w:p w14:paraId="092DCDD6">
            <w:pPr>
              <w:pStyle w:val="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textAlignment w:val="auto"/>
              <w:rPr>
                <w:rFonts w:hint="default" w:ascii="微软雅黑" w:hAnsi="微软雅黑" w:eastAsia="微软雅黑" w:cs="微软雅黑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vertAlign w:val="baseline"/>
                <w:lang w:val="en-US" w:eastAsia="zh-CN"/>
              </w:rPr>
              <w:t>发货</w:t>
            </w:r>
          </w:p>
        </w:tc>
        <w:tc>
          <w:tcPr>
            <w:tcW w:w="4950" w:type="dxa"/>
          </w:tcPr>
          <w:p w14:paraId="42F09F1C">
            <w:pPr>
              <w:pStyle w:val="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textAlignment w:val="auto"/>
              <w:rPr>
                <w:rFonts w:hint="default" w:ascii="微软雅黑" w:hAnsi="微软雅黑" w:eastAsia="微软雅黑" w:cs="微软雅黑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vertAlign w:val="baseline"/>
                <w:lang w:val="en-US" w:eastAsia="zh-CN"/>
              </w:rPr>
              <w:t>采购进行实际下单操作，填写物流信息，当供应商发货之后，采购单进入发货状态，如需付款走财务付款功能流程。</w:t>
            </w:r>
          </w:p>
        </w:tc>
        <w:tc>
          <w:tcPr>
            <w:tcW w:w="1673" w:type="dxa"/>
          </w:tcPr>
          <w:p w14:paraId="166870C0">
            <w:pPr>
              <w:pStyle w:val="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textAlignment w:val="auto"/>
              <w:rPr>
                <w:rFonts w:hint="eastAsia" w:ascii="微软雅黑" w:hAnsi="微软雅黑" w:eastAsia="微软雅黑" w:cs="微软雅黑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vertAlign w:val="baseline"/>
                <w:lang w:val="en-US" w:eastAsia="zh-CN"/>
              </w:rPr>
              <w:t>采购</w:t>
            </w:r>
          </w:p>
        </w:tc>
      </w:tr>
      <w:tr w14:paraId="3DD431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99" w:type="dxa"/>
          </w:tcPr>
          <w:p w14:paraId="37C9BAD8">
            <w:pPr>
              <w:pStyle w:val="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textAlignment w:val="auto"/>
              <w:rPr>
                <w:rFonts w:hint="default" w:ascii="微软雅黑" w:hAnsi="微软雅黑" w:eastAsia="微软雅黑" w:cs="微软雅黑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vertAlign w:val="baseline"/>
                <w:lang w:val="en-US" w:eastAsia="zh-CN"/>
              </w:rPr>
              <w:t>收货</w:t>
            </w:r>
          </w:p>
        </w:tc>
        <w:tc>
          <w:tcPr>
            <w:tcW w:w="4950" w:type="dxa"/>
          </w:tcPr>
          <w:p w14:paraId="6FD8B4A8">
            <w:pPr>
              <w:pStyle w:val="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textAlignment w:val="auto"/>
              <w:rPr>
                <w:rFonts w:hint="default" w:ascii="微软雅黑" w:hAnsi="微软雅黑" w:eastAsia="微软雅黑" w:cs="微软雅黑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vertAlign w:val="baseline"/>
                <w:lang w:val="en-US" w:eastAsia="zh-CN"/>
              </w:rPr>
              <w:t>由仓储人员对收货进行确认，如多个包裹，可分多次对产品明细进行入库，但每次入库必须是单一的记录，如单一明细拆分多个物流包裹，则需要手工处理统一入库。一旦入库该明细记录将被锁定，如需变更则走库存整理功能流程。</w:t>
            </w:r>
          </w:p>
        </w:tc>
        <w:tc>
          <w:tcPr>
            <w:tcW w:w="1673" w:type="dxa"/>
          </w:tcPr>
          <w:p w14:paraId="771C4863">
            <w:pPr>
              <w:pStyle w:val="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textAlignment w:val="auto"/>
              <w:rPr>
                <w:rFonts w:hint="default" w:ascii="微软雅黑" w:hAnsi="微软雅黑" w:eastAsia="微软雅黑" w:cs="微软雅黑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vertAlign w:val="baseline"/>
                <w:lang w:val="en-US" w:eastAsia="zh-CN"/>
              </w:rPr>
              <w:t>仓储</w:t>
            </w:r>
          </w:p>
        </w:tc>
      </w:tr>
      <w:tr w14:paraId="72C4E4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99" w:type="dxa"/>
          </w:tcPr>
          <w:p w14:paraId="1A8662CD">
            <w:pPr>
              <w:pStyle w:val="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textAlignment w:val="auto"/>
              <w:rPr>
                <w:rFonts w:hint="default" w:ascii="微软雅黑" w:hAnsi="微软雅黑" w:eastAsia="微软雅黑" w:cs="微软雅黑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vertAlign w:val="baseline"/>
                <w:lang w:val="en-US" w:eastAsia="zh-CN"/>
              </w:rPr>
              <w:t>确认</w:t>
            </w:r>
          </w:p>
        </w:tc>
        <w:tc>
          <w:tcPr>
            <w:tcW w:w="4950" w:type="dxa"/>
          </w:tcPr>
          <w:p w14:paraId="224765F2">
            <w:pPr>
              <w:pStyle w:val="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textAlignment w:val="auto"/>
              <w:rPr>
                <w:rFonts w:hint="default" w:ascii="微软雅黑" w:hAnsi="微软雅黑" w:eastAsia="微软雅黑" w:cs="微软雅黑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vertAlign w:val="baseline"/>
                <w:lang w:val="en-US" w:eastAsia="zh-CN"/>
              </w:rPr>
              <w:t>采购进行最终确认，采购入库单完成，进入归档状态。所有信息冻结，不再被修改。（超级管理员可以对单据信息进行修正，无法对明细变更）</w:t>
            </w:r>
          </w:p>
        </w:tc>
        <w:tc>
          <w:tcPr>
            <w:tcW w:w="1673" w:type="dxa"/>
          </w:tcPr>
          <w:p w14:paraId="69997971">
            <w:pPr>
              <w:pStyle w:val="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textAlignment w:val="auto"/>
              <w:rPr>
                <w:rFonts w:hint="default" w:ascii="微软雅黑" w:hAnsi="微软雅黑" w:eastAsia="微软雅黑" w:cs="微软雅黑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vertAlign w:val="baseline"/>
                <w:lang w:val="en-US" w:eastAsia="zh-CN"/>
              </w:rPr>
              <w:t>采购</w:t>
            </w:r>
          </w:p>
        </w:tc>
      </w:tr>
      <w:tr w14:paraId="5C5E1B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99" w:type="dxa"/>
          </w:tcPr>
          <w:p w14:paraId="5DE80DD0">
            <w:pPr>
              <w:pStyle w:val="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textAlignment w:val="auto"/>
              <w:rPr>
                <w:rFonts w:hint="eastAsia" w:ascii="微软雅黑" w:hAnsi="微软雅黑" w:eastAsia="微软雅黑" w:cs="微软雅黑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4950" w:type="dxa"/>
          </w:tcPr>
          <w:p w14:paraId="4937766D">
            <w:pPr>
              <w:pStyle w:val="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textAlignment w:val="auto"/>
              <w:rPr>
                <w:rFonts w:hint="eastAsia" w:ascii="微软雅黑" w:hAnsi="微软雅黑" w:eastAsia="微软雅黑" w:cs="微软雅黑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673" w:type="dxa"/>
          </w:tcPr>
          <w:p w14:paraId="22AC4E40">
            <w:pPr>
              <w:pStyle w:val="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textAlignment w:val="auto"/>
              <w:rPr>
                <w:rFonts w:hint="eastAsia" w:ascii="微软雅黑" w:hAnsi="微软雅黑" w:eastAsia="微软雅黑" w:cs="微软雅黑"/>
                <w:sz w:val="21"/>
                <w:szCs w:val="21"/>
                <w:vertAlign w:val="baseline"/>
                <w:lang w:val="en-US" w:eastAsia="zh-CN"/>
              </w:rPr>
            </w:pPr>
          </w:p>
        </w:tc>
      </w:tr>
    </w:tbl>
    <w:p w14:paraId="3CB7D059">
      <w:pPr>
        <w:pStyle w:val="2"/>
        <w:bidi w:val="0"/>
        <w:rPr>
          <w:rFonts w:hint="eastAsia" w:ascii="微软雅黑" w:hAnsi="微软雅黑" w:eastAsia="微软雅黑" w:cs="微软雅黑"/>
          <w:sz w:val="24"/>
          <w:szCs w:val="24"/>
          <w:lang w:val="en-US" w:eastAsia="zh-CN"/>
        </w:rPr>
      </w:pPr>
    </w:p>
    <w:p w14:paraId="2359DD62">
      <w:pPr>
        <w:pStyle w:val="2"/>
        <w:bidi w:val="0"/>
        <w:rPr>
          <w:rFonts w:hint="eastAsia" w:ascii="微软雅黑" w:hAnsi="微软雅黑" w:eastAsia="微软雅黑" w:cs="微软雅黑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sz w:val="24"/>
          <w:szCs w:val="24"/>
          <w:lang w:val="en-US" w:eastAsia="zh-CN"/>
        </w:rPr>
        <w:t>入库产品明细</w:t>
      </w:r>
    </w:p>
    <w:p w14:paraId="602A16F5">
      <w:pPr>
        <w:pStyle w:val="2"/>
        <w:bidi w:val="0"/>
        <w:ind w:firstLine="480" w:firstLineChars="200"/>
        <w:rPr>
          <w:rFonts w:hint="default" w:ascii="微软雅黑" w:hAnsi="微软雅黑" w:eastAsia="微软雅黑" w:cs="微软雅黑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sz w:val="24"/>
          <w:szCs w:val="24"/>
          <w:lang w:val="en-US" w:eastAsia="zh-CN"/>
        </w:rPr>
        <w:t>产品入库有三种方式，采购、退货、盘库。采购是正常的入库方式，通过采购单进行管理。退货是销售出库之后再次入库，对应的是销售单。盘库类似后台直接添加，对应库存调整单。产品入库明细无论采用哪种方式，都存储在一张表中，便于检索和统计。</w:t>
      </w:r>
    </w:p>
    <w:p w14:paraId="76F7A9F6">
      <w:pPr>
        <w:pStyle w:val="2"/>
        <w:bidi w:val="0"/>
        <w:rPr>
          <w:rFonts w:hint="default" w:ascii="微软雅黑" w:hAnsi="微软雅黑" w:eastAsia="微软雅黑" w:cs="微软雅黑"/>
          <w:sz w:val="24"/>
          <w:szCs w:val="24"/>
          <w:lang w:val="en-US" w:eastAsia="zh-CN"/>
        </w:rPr>
      </w:pPr>
    </w:p>
    <w:p w14:paraId="1F13B860">
      <w:pPr>
        <w:pStyle w:val="2"/>
        <w:bidi w:val="0"/>
        <w:rPr>
          <w:rFonts w:hint="default" w:ascii="微软雅黑" w:hAnsi="微软雅黑" w:eastAsia="微软雅黑" w:cs="微软雅黑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sz w:val="24"/>
          <w:szCs w:val="24"/>
          <w:lang w:val="en-US" w:eastAsia="zh-CN"/>
        </w:rPr>
        <w:t>库存中以原子态形式存储，即标称数量为1，这样做到对每个原子态库存产品进行唯一编号。</w:t>
      </w:r>
      <w:bookmarkStart w:id="0" w:name="_GoBack"/>
      <w:bookmarkEnd w:id="0"/>
    </w:p>
    <w:p w14:paraId="3E81E19F">
      <w:pPr>
        <w:pStyle w:val="2"/>
        <w:bidi w:val="0"/>
        <w:rPr>
          <w:rFonts w:hint="default" w:ascii="微软雅黑" w:hAnsi="微软雅黑" w:eastAsia="微软雅黑" w:cs="微软雅黑"/>
          <w:sz w:val="24"/>
          <w:szCs w:val="24"/>
          <w:lang w:val="en-US" w:eastAsia="zh-CN"/>
        </w:rPr>
      </w:pPr>
    </w:p>
    <w:p w14:paraId="08D1BAE3">
      <w:pPr>
        <w:pStyle w:val="2"/>
        <w:bidi w:val="0"/>
        <w:rPr>
          <w:rFonts w:hint="default" w:ascii="微软雅黑" w:hAnsi="微软雅黑" w:eastAsia="微软雅黑" w:cs="微软雅黑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sz w:val="24"/>
          <w:szCs w:val="24"/>
          <w:lang w:val="en-US" w:eastAsia="zh-CN"/>
        </w:rPr>
        <w:t>每次对库存明细进行变更，插入一条变更记录，并同时统计产品库存数量和库存总价（累加）</w:t>
      </w:r>
    </w:p>
    <w:p w14:paraId="32A6C6D8">
      <w:pPr>
        <w:pStyle w:val="2"/>
        <w:bidi w:val="0"/>
        <w:rPr>
          <w:rFonts w:hint="default" w:ascii="微软雅黑" w:hAnsi="微软雅黑" w:eastAsia="微软雅黑" w:cs="微软雅黑"/>
          <w:sz w:val="24"/>
          <w:szCs w:val="24"/>
          <w:lang w:val="en-US" w:eastAsia="zh-CN"/>
        </w:rPr>
      </w:pPr>
    </w:p>
    <w:p w14:paraId="64D8B39F">
      <w:pPr>
        <w:pStyle w:val="2"/>
        <w:bidi w:val="0"/>
        <w:rPr>
          <w:rFonts w:hint="default" w:ascii="微软雅黑" w:hAnsi="微软雅黑" w:eastAsia="微软雅黑" w:cs="微软雅黑"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sz w:val="24"/>
          <w:szCs w:val="24"/>
          <w:lang w:val="en-US" w:eastAsia="zh-CN"/>
        </w:rPr>
        <w:t>产品编码 = 2大类编码 + 0 + 4小类编码 + 7位产品编号</w:t>
      </w:r>
    </w:p>
    <w:p w14:paraId="278AF6F8">
      <w:pPr>
        <w:pStyle w:val="2"/>
        <w:bidi w:val="0"/>
        <w:rPr>
          <w:rFonts w:hint="default" w:ascii="微软雅黑" w:hAnsi="微软雅黑" w:eastAsia="微软雅黑" w:cs="微软雅黑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sz w:val="24"/>
          <w:szCs w:val="24"/>
          <w:lang w:val="en-US" w:eastAsia="zh-CN"/>
        </w:rPr>
        <w:t xml:space="preserve">库存明细 = 6位日期 + 5位顺序号 + </w:t>
      </w:r>
      <w:r>
        <w:rPr>
          <w:rFonts w:hint="default" w:ascii="微软雅黑" w:hAnsi="微软雅黑" w:eastAsia="微软雅黑" w:cs="微软雅黑"/>
          <w:sz w:val="24"/>
          <w:szCs w:val="24"/>
          <w:lang w:val="en-US" w:eastAsia="zh-CN"/>
        </w:rPr>
        <w:t>7位产品编号</w:t>
      </w:r>
    </w:p>
    <w:p w14:paraId="03D7A068">
      <w:pPr>
        <w:pStyle w:val="2"/>
        <w:bidi w:val="0"/>
        <w:rPr>
          <w:rFonts w:hint="default" w:ascii="微软雅黑" w:hAnsi="微软雅黑" w:eastAsia="微软雅黑" w:cs="微软雅黑"/>
          <w:sz w:val="24"/>
          <w:szCs w:val="24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77D33A4"/>
    <w:rsid w:val="0241242E"/>
    <w:rsid w:val="237A1B98"/>
    <w:rsid w:val="2C721501"/>
    <w:rsid w:val="36163429"/>
    <w:rsid w:val="3C092B06"/>
    <w:rsid w:val="3FC339B0"/>
    <w:rsid w:val="42AA7555"/>
    <w:rsid w:val="42E05394"/>
    <w:rsid w:val="4CFC6B1B"/>
    <w:rsid w:val="577D33A4"/>
    <w:rsid w:val="614B5D49"/>
    <w:rsid w:val="655926E2"/>
    <w:rsid w:val="6B6F1F5A"/>
    <w:rsid w:val="6E4A2E2B"/>
    <w:rsid w:val="6EE2160D"/>
    <w:rsid w:val="746F3388"/>
    <w:rsid w:val="76DB438D"/>
    <w:rsid w:val="770F52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qFormat/>
    <w:uiPriority w:val="0"/>
    <w:pPr>
      <w:spacing w:after="120" w:afterLines="0" w:afterAutospacing="0"/>
    </w:pPr>
  </w:style>
  <w:style w:type="paragraph" w:styleId="3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5">
    <w:name w:val="Table Grid"/>
    <w:basedOn w:val="4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647</Words>
  <Characters>652</Characters>
  <Lines>0</Lines>
  <Paragraphs>0</Paragraphs>
  <TotalTime>4</TotalTime>
  <ScaleCrop>false</ScaleCrop>
  <LinksUpToDate>false</LinksUpToDate>
  <CharactersWithSpaces>666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2025-09-12T03:18:00Z</dcterms:created>
  <dc:creator>hjx</dc:creator>
  <cp:lastModifiedBy>hjx</cp:lastModifiedBy>
  <dcterms:modified xsi:type="dcterms:W3CDTF">2025-09-30T08:17:57Z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D62CF9FB9C2B4A69932CE0530730C80A_11</vt:lpwstr>
  </property>
  <property fmtid="{D5CDD505-2E9C-101B-9397-08002B2CF9AE}" pid="4" name="KSOTemplateDocerSaveRecord">
    <vt:lpwstr>eyJoZGlkIjoiMDIyM2MzYzE3N2U3NGZkZWVkYWQ1ZTAwMDBmZjMxZWEiLCJ1c2VySWQiOiIxMDU5OTIxMzk5In0=</vt:lpwstr>
  </property>
</Properties>
</file>