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00" w:before="0" w:line="240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4"/>
        </w:rPr>
        <w:t>Исх. № ______ от «__» октября 2026 г.</w:t>
      </w:r>
    </w:p>
    <w:p>
      <w:pPr>
        <w:spacing w:after="0" w:before="0" w:line="240" w:lineRule="auto"/>
        <w:ind w:left="0" w:right="0" w:firstLine="0"/>
        <w:jc w:val="right"/>
      </w:pPr>
      <w:r>
        <w:rPr>
          <w:rFonts w:ascii="Times New Roman" w:hAnsi="Times New Roman"/>
          <w:b w:val="0"/>
          <w:i w:val="0"/>
          <w:sz w:val="24"/>
        </w:rPr>
        <w:t>Директору филиала ФКУ</w:t>
      </w:r>
    </w:p>
    <w:p>
      <w:pPr>
        <w:spacing w:after="0" w:before="0" w:line="240" w:lineRule="auto"/>
        <w:ind w:left="0" w:right="0" w:firstLine="0"/>
        <w:jc w:val="right"/>
      </w:pPr>
      <w:r>
        <w:rPr>
          <w:rFonts w:ascii="Times New Roman" w:hAnsi="Times New Roman"/>
          <w:b w:val="0"/>
          <w:i w:val="0"/>
          <w:sz w:val="24"/>
        </w:rPr>
        <w:t>«Налог-Сервис» ФНС России по ЦОД в</w:t>
      </w:r>
    </w:p>
    <w:p>
      <w:pPr>
        <w:spacing w:after="0" w:before="0" w:line="240" w:lineRule="auto"/>
        <w:ind w:left="0" w:right="0" w:firstLine="0"/>
        <w:jc w:val="right"/>
      </w:pPr>
      <w:r>
        <w:rPr>
          <w:rFonts w:ascii="Times New Roman" w:hAnsi="Times New Roman"/>
          <w:b w:val="0"/>
          <w:i w:val="0"/>
          <w:sz w:val="24"/>
        </w:rPr>
        <w:t>г. Дубна Московской области</w:t>
      </w:r>
    </w:p>
    <w:p>
      <w:pPr>
        <w:spacing w:after="0" w:before="0" w:line="240" w:lineRule="auto"/>
        <w:ind w:left="0" w:right="0" w:firstLine="0"/>
        <w:jc w:val="right"/>
      </w:pPr>
      <w:r>
        <w:rPr>
          <w:rFonts w:ascii="Times New Roman" w:hAnsi="Times New Roman"/>
          <w:b w:val="0"/>
          <w:i w:val="0"/>
          <w:sz w:val="24"/>
        </w:rPr>
        <w:t>С. В. Астахову</w:t>
      </w:r>
    </w:p>
    <w:p>
      <w:pPr>
        <w:spacing w:after="0" w:before="0" w:line="240" w:lineRule="auto"/>
        <w:ind w:left="0" w:right="0" w:firstLine="0"/>
        <w:jc w:val="right"/>
      </w:pPr>
      <w:r>
        <w:rPr>
          <w:rFonts w:ascii="Times New Roman" w:hAnsi="Times New Roman"/>
          <w:b w:val="0"/>
          <w:i w:val="0"/>
          <w:sz w:val="24"/>
        </w:rPr>
        <w:t>Копия:</w:t>
      </w:r>
    </w:p>
    <w:p>
      <w:pPr>
        <w:spacing w:after="0" w:before="0" w:line="240" w:lineRule="auto"/>
        <w:ind w:left="0" w:right="0" w:firstLine="0"/>
        <w:jc w:val="right"/>
      </w:pPr>
      <w:r>
        <w:rPr>
          <w:rFonts w:ascii="Times New Roman" w:hAnsi="Times New Roman"/>
          <w:b w:val="0"/>
          <w:i w:val="0"/>
          <w:sz w:val="24"/>
        </w:rPr>
        <w:t>Руководителю дирекции проекта создания ЦОД</w:t>
      </w:r>
    </w:p>
    <w:p>
      <w:pPr>
        <w:spacing w:after="0" w:before="0" w:line="240" w:lineRule="auto"/>
        <w:ind w:left="0" w:right="0" w:firstLine="0"/>
        <w:jc w:val="right"/>
      </w:pPr>
      <w:r>
        <w:rPr>
          <w:rFonts w:ascii="Times New Roman" w:hAnsi="Times New Roman"/>
          <w:b w:val="0"/>
          <w:i w:val="0"/>
          <w:sz w:val="24"/>
        </w:rPr>
        <w:t>ФКУ «Налог-Сервис» ФНС России</w:t>
      </w:r>
    </w:p>
    <w:p>
      <w:pPr>
        <w:spacing w:after="0" w:before="0" w:line="240" w:lineRule="auto"/>
        <w:ind w:left="0" w:right="0" w:firstLine="0"/>
        <w:jc w:val="right"/>
      </w:pPr>
      <w:r>
        <w:rPr>
          <w:rFonts w:ascii="Times New Roman" w:hAnsi="Times New Roman"/>
          <w:b w:val="0"/>
          <w:i w:val="0"/>
          <w:sz w:val="24"/>
        </w:rPr>
        <w:t>Виноградову С.Ю.</w:t>
      </w:r>
    </w:p>
    <w:p>
      <w:pPr>
        <w:spacing w:after="120" w:before="0" w:line="240" w:lineRule="auto"/>
        <w:ind w:left="0" w:right="0" w:firstLine="0"/>
        <w:jc w:val="both"/>
      </w:pPr>
    </w:p>
    <w:p>
      <w:pPr>
        <w:spacing w:after="200" w:before="0" w:line="240" w:lineRule="auto"/>
        <w:ind w:left="850" w:right="850" w:firstLine="0"/>
        <w:jc w:val="center"/>
      </w:pPr>
      <w:r>
        <w:rPr>
          <w:rFonts w:ascii="Times New Roman" w:hAnsi="Times New Roman"/>
          <w:b/>
          <w:i w:val="0"/>
          <w:sz w:val="24"/>
        </w:rPr>
        <w:t>О порядке проведения испытаний электроустановок и об отсутствии испытания под нагрузкой продолжительностью 72 часа</w:t>
      </w:r>
    </w:p>
    <w:p>
      <w:pPr>
        <w:spacing w:after="160" w:before="0" w:line="240" w:lineRule="auto"/>
        <w:ind w:left="0" w:right="0" w:firstLine="0"/>
        <w:jc w:val="center"/>
      </w:pPr>
      <w:r>
        <w:rPr>
          <w:rFonts w:ascii="Times New Roman" w:hAnsi="Times New Roman"/>
          <w:b/>
          <w:i w:val="0"/>
          <w:sz w:val="24"/>
        </w:rPr>
        <w:t>Уважаемый Сергей Валерьевич!</w:t>
      </w:r>
    </w:p>
    <w:p>
      <w:pPr>
        <w:spacing w:after="120" w:before="0" w:line="240" w:lineRule="auto"/>
        <w:ind w:left="0" w:right="0"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рамках исполнения Государственного контракта № ГК-08-194/25 и Договора № ______ от «__» ________ 2026 г. ООО «ДИСИАЙ СОЛЮШНС» выполняет работы по модернизации системы бесперебойного электропитания технологической зоны (ТЗ) на объекте: Филиал ФКУ «Налог-Сервис» ФНС России по ЦОД в г. Дубна Московской области, 141981, Московская область, г. Дубна, ул. Технологическая, д. 2 (далее — Объект).</w:t>
      </w:r>
    </w:p>
    <w:p>
      <w:pPr>
        <w:spacing w:after="120" w:before="0" w:line="240" w:lineRule="auto"/>
        <w:ind w:left="0" w:right="0"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Информируем, что по электроустановкам и кабельным линиям Объекта проведены приёмо-сдаточные испытания, а испытание под нагрузкой продолжительностью 72 часа не проводилось, поскольку такое испытание не предусмотрено условиями выполнения работ. Основания:</w:t>
      </w:r>
    </w:p>
    <w:p>
      <w:pPr>
        <w:spacing w:after="120" w:before="0" w:line="240" w:lineRule="auto"/>
        <w:ind w:left="0" w:right="0" w:firstLine="709"/>
        <w:jc w:val="both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 xml:space="preserve">Договор. </w:t>
      </w:r>
      <w:r>
        <w:rPr>
          <w:rFonts w:ascii="Times New Roman" w:hAnsi="Times New Roman"/>
          <w:sz w:val="24"/>
        </w:rPr>
        <w:t>Договор № ______ и приложения к нему не устанавливают обязанность Подрядчика провести испытание электроустановок под нагрузкой в течение 72 часов, а также критерии и порядок приёмки по его результатам.</w:t>
      </w:r>
    </w:p>
    <w:p>
      <w:pPr>
        <w:spacing w:after="120" w:before="0" w:line="240" w:lineRule="auto"/>
        <w:ind w:left="0" w:right="0" w:firstLine="709"/>
        <w:jc w:val="both"/>
      </w:pPr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 xml:space="preserve">Техническое задание (Приложение № 1 к Договору). </w:t>
      </w:r>
      <w:r>
        <w:rPr>
          <w:rFonts w:ascii="Times New Roman" w:hAnsi="Times New Roman"/>
          <w:sz w:val="24"/>
        </w:rPr>
        <w:t>Раздел «Требования к порядку и качеству производства монтажных и пусконаладочных работ» определяет состав испытаний по разделу «Система электроснабжения»: лабораторные испытания электроустановок и кабельных линий, а также пусконаладочные работы на вновь установленных источниках бесперебойного питания с применением резистивных нагрузочных модулей соответствующей номинальной мощности. Продолжительность испытаний под нагрузкой в 72 часа в Техническом задании не установлена. Результатом испытаний электроустановки является технический отчёт (раздел «Состав передаваемой документации» Технического задания).</w:t>
      </w:r>
    </w:p>
    <w:p>
      <w:pPr>
        <w:spacing w:after="120" w:before="0" w:line="240" w:lineRule="auto"/>
        <w:ind w:left="0" w:right="0" w:firstLine="709"/>
        <w:jc w:val="both"/>
      </w:pPr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 xml:space="preserve">Программа и методика испытаний (ПМИ). </w:t>
      </w:r>
      <w:r>
        <w:rPr>
          <w:rFonts w:ascii="Times New Roman" w:hAnsi="Times New Roman"/>
          <w:sz w:val="24"/>
        </w:rPr>
        <w:t>Испытания проводятся по ПМИ, разработанной Подрядчиком в соответствии с Техническим заданием. Для системы кондиционирования технологических помещений Технологической зоны №1 это «Программа и методика индивидуальных испытаний прецизионных кондиционеров серии XRow» (код документа Д/ФНС.2024-СКТП, 2026 г.): предварительная длительность испытаний составляет 4 (четыре) часа (п. 4.2 ПМИ), испытание под нагрузкой продолжительностью 72 часа в ней не предусмотрено. Объём испытаний электроустановок определён Техническим заданием и подтверждён протоколами, перечисленными ниже.</w:t>
      </w:r>
    </w:p>
    <w:p>
      <w:pPr>
        <w:spacing w:after="120" w:before="0" w:line="240" w:lineRule="auto"/>
        <w:ind w:left="0" w:right="0"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Фактически выполненные испытания подтверждаются протоколами:</w:t>
      </w:r>
    </w:p>
    <w:p>
      <w:pPr>
        <w:spacing w:after="60" w:before="0" w:line="240" w:lineRule="auto"/>
        <w:ind w:left="709" w:right="0" w:firstLine="0"/>
        <w:jc w:val="both"/>
      </w:pPr>
      <w:r>
        <w:rPr>
          <w:rFonts w:ascii="Times New Roman" w:hAnsi="Times New Roman"/>
          <w:b w:val="0"/>
          <w:i w:val="0"/>
          <w:sz w:val="24"/>
        </w:rPr>
        <w:t>— протокол № ______ от «__» ________ 2026 г. — измерение сопротивления изоляции;</w:t>
      </w:r>
    </w:p>
    <w:p>
      <w:pPr>
        <w:spacing w:after="60" w:before="0" w:line="240" w:lineRule="auto"/>
        <w:ind w:left="709" w:right="0" w:firstLine="0"/>
        <w:jc w:val="both"/>
      </w:pPr>
      <w:r>
        <w:rPr>
          <w:rFonts w:ascii="Times New Roman" w:hAnsi="Times New Roman"/>
          <w:b w:val="0"/>
          <w:i w:val="0"/>
          <w:sz w:val="24"/>
        </w:rPr>
        <w:t>— протокол № ______ от «__» ________ 2026 г. — измерение сопротивления (цепи «фаза–нуль» / заземляющего устройства — указать нужное).</w:t>
      </w:r>
    </w:p>
    <w:p>
      <w:pPr>
        <w:spacing w:after="120" w:before="0" w:line="240" w:lineRule="auto"/>
        <w:ind w:left="0" w:right="0"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Измерения выполнены поверенными средствами измерений (свидетельство о поверке № ______ от «__» ________ 20__ г.), результаты соответствуют нормируемым значениям. Пусконаладочные работы на источниках бесперебойного питания проведены с применением резистивных нагрузочных модулей в соответствии с Техническим заданием, что подтверждается актами и протоколами ПНР.</w:t>
      </w:r>
    </w:p>
    <w:p>
      <w:pPr>
        <w:spacing w:after="120" w:before="0" w:line="240" w:lineRule="auto"/>
        <w:ind w:left="0" w:right="0"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основании изложенного электроустановки Объекта испытаны в объёме, установленном Договором, Техническим заданием, ПМИ (код Д/ФНС.2024-СКТП) и действующими нормативными документами. Непроведение испытания под нагрузкой продолжительностью 72 часа не является нарушением условий выполнения работ.</w:t>
      </w:r>
    </w:p>
    <w:p>
      <w:pPr>
        <w:spacing w:after="160" w:before="0" w:line="240" w:lineRule="auto"/>
        <w:ind w:left="0" w:right="0"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случае если Заказчик или Представитель Заказчика считает проведение такого испытания необходимым, просим направить письменное требование с указанием основания (пункт Договора, проектной документации или технических условий). Подрядчик готов рассмотреть возможность его проведения по отдельному согласованию сроков и условий.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4"/>
        </w:rPr>
        <w:t>Приложения:</w:t>
      </w:r>
    </w:p>
    <w:p>
      <w:pPr>
        <w:spacing w:after="0" w:before="0" w:line="240" w:lineRule="auto"/>
        <w:ind w:left="283" w:right="0" w:firstLine="0"/>
        <w:jc w:val="left"/>
      </w:pPr>
      <w:r>
        <w:rPr>
          <w:rFonts w:ascii="Times New Roman" w:hAnsi="Times New Roman"/>
          <w:b w:val="0"/>
          <w:i w:val="0"/>
          <w:sz w:val="24"/>
        </w:rPr>
        <w:t>1. Копия протокола измерения сопротивления изоляции № ______ на ___ л.</w:t>
      </w:r>
    </w:p>
    <w:p>
      <w:pPr>
        <w:spacing w:after="0" w:before="0" w:line="240" w:lineRule="auto"/>
        <w:ind w:left="283" w:right="0" w:firstLine="0"/>
        <w:jc w:val="left"/>
      </w:pPr>
      <w:r>
        <w:rPr>
          <w:rFonts w:ascii="Times New Roman" w:hAnsi="Times New Roman"/>
          <w:b w:val="0"/>
          <w:i w:val="0"/>
          <w:sz w:val="24"/>
        </w:rPr>
        <w:t>2. Копия протокола измерения сопротивления № ______ на ___ л.</w:t>
      </w:r>
    </w:p>
    <w:p>
      <w:pPr>
        <w:spacing w:after="0" w:before="0" w:line="240" w:lineRule="auto"/>
        <w:ind w:left="283" w:right="0" w:firstLine="0"/>
        <w:jc w:val="left"/>
      </w:pPr>
      <w:r>
        <w:rPr>
          <w:rFonts w:ascii="Times New Roman" w:hAnsi="Times New Roman"/>
          <w:b w:val="0"/>
          <w:i w:val="0"/>
          <w:sz w:val="24"/>
        </w:rPr>
        <w:t>3. Копия свидетельства о поверке средств измерений на ___ л.</w:t>
      </w:r>
    </w:p>
    <w:p>
      <w:pPr>
        <w:spacing w:after="200" w:before="0" w:line="240" w:lineRule="auto"/>
        <w:ind w:left="0" w:right="0" w:firstLine="0"/>
        <w:jc w:val="both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4"/>
        </w:rPr>
        <w:t>Генеральный директор</w:t>
        <w:br/>
        <w:t>ООО «ДИСИАЙ СОЛЮШНС»</w:t>
        <w:tab/>
        <w:tab/>
        <w:tab/>
        <w:tab/>
        <w:tab/>
        <w:t>_______________ / Л. В. Рамзес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134" w:top="1134" w:left="1134" w:right="566" w:header="539" w:footer="35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5450.0" w:type="dxa"/>
      <w:jc w:val="left"/>
      <w:tblInd w:w="142.0" w:type="dxa"/>
      <w:tblLayout w:type="fixed"/>
      <w:tblLook w:val="0000"/>
    </w:tblPr>
    <w:tblGrid>
      <w:gridCol w:w="3119"/>
      <w:gridCol w:w="3543"/>
      <w:gridCol w:w="8788"/>
      <w:tblGridChange w:id="0">
        <w:tblGrid>
          <w:gridCol w:w="3119"/>
          <w:gridCol w:w="3543"/>
          <w:gridCol w:w="8788"/>
        </w:tblGrid>
      </w:tblGridChange>
    </w:tblGrid>
    <w:tr>
      <w:trPr>
        <w:cantSplit w:val="0"/>
        <w:trHeight w:val="849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1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ООО «ДИСИАЙ СОЛЮШНС»</w:t>
          </w:r>
        </w:p>
      </w:tc>
      <w:tc>
        <w:tcPr>
          <w:vAlign w:val="top"/>
        </w:tcPr>
        <w:p w:rsidR="00000000" w:rsidDel="00000000" w:rsidP="00000000" w:rsidRDefault="00000000" w:rsidRPr="00000000" w14:paraId="000000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127081, г. Москва, проезд Дежнева, дом 1, 4 этаж, пом.VI, ком.10.1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ОГРН 1187746032572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ИНН 7716888076/771501001</w:t>
          </w:r>
        </w:p>
      </w:tc>
      <w:tc>
        <w:tcPr>
          <w:vAlign w:val="top"/>
        </w:tcPr>
        <w:p w:rsidR="00000000" w:rsidDel="00000000" w:rsidP="00000000" w:rsidRDefault="00000000" w:rsidRPr="00000000" w14:paraId="0000001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р/с 40702810301100013895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АО «Альфа-Банк» г. Москва</w:t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к/с 30101810200000000593</w:t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БИК 044525593</w:t>
          </w:r>
        </w:p>
      </w:tc>
    </w:tr>
  </w:tbl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f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ff"/>
        <w:sz w:val="24"/>
        <w:szCs w:val="24"/>
        <w:u w:val="none"/>
        <w:shd w:fill="auto" w:val="clear"/>
        <w:vertAlign w:val="baseline"/>
        <w:rtl w:val="0"/>
      </w:rPr>
      <w:t xml:space="preserve">129347, г. Москва, ул. Холмогорская, д. 6, к. 2                      </w:t>
      <w:tab/>
      <w:t xml:space="preserve">       Тел.: 105-05-02, Факс: 188-93-74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-55239</wp:posOffset>
              </wp:positionH>
              <wp:positionV relativeFrom="paragraph">
                <wp:posOffset>-382264</wp:posOffset>
              </wp:positionV>
              <wp:extent cx="6475095" cy="160020"/>
              <wp:effectExtent b="0" l="0" r="0" t="0"/>
              <wp:wrapNone/>
              <wp:docPr id="104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27503" y="3719040"/>
                        <a:ext cx="6436995" cy="1219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cap="flat" cmpd="sng" w="9525">
                        <a:solidFill>
                          <a:srgbClr val="FF0000"/>
                        </a:solidFill>
                        <a:prstDash val="solid"/>
                        <a:miter lim="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-55239</wp:posOffset>
              </wp:positionH>
              <wp:positionV relativeFrom="paragraph">
                <wp:posOffset>-382264</wp:posOffset>
              </wp:positionV>
              <wp:extent cx="6475095" cy="160020"/>
              <wp:effectExtent b="0" l="0" r="0" t="0"/>
              <wp:wrapNone/>
              <wp:docPr id="104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5095" cy="1600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4276725</wp:posOffset>
              </wp:positionH>
              <wp:positionV relativeFrom="paragraph">
                <wp:posOffset>-165096</wp:posOffset>
              </wp:positionV>
              <wp:extent cx="635" cy="76200"/>
              <wp:effectExtent b="0" l="0" r="0" t="0"/>
              <wp:wrapNone/>
              <wp:docPr id="104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341113" y="3779683"/>
                        <a:ext cx="2009775" cy="635"/>
                      </a:xfrm>
                      <a:prstGeom prst="straightConnector1">
                        <a:avLst/>
                      </a:prstGeom>
                      <a:noFill/>
                      <a:ln cap="flat" cmpd="sng" w="76200">
                        <a:solidFill>
                          <a:srgbClr val="FF0000"/>
                        </a:solidFill>
                        <a:prstDash val="solid"/>
                        <a:miter lim="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4276725</wp:posOffset>
              </wp:positionH>
              <wp:positionV relativeFrom="paragraph">
                <wp:posOffset>-165096</wp:posOffset>
              </wp:positionV>
              <wp:extent cx="635" cy="76200"/>
              <wp:effectExtent b="0" l="0" r="0" t="0"/>
              <wp:wrapNone/>
              <wp:docPr id="104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76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5664" w:right="-105" w:firstLine="707.9999999999995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f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ff"/>
        <w:sz w:val="24"/>
        <w:szCs w:val="24"/>
        <w:u w:val="none"/>
        <w:shd w:fill="auto" w:val="clear"/>
        <w:vertAlign w:val="baseline"/>
        <w:rtl w:val="0"/>
      </w:rPr>
      <w:t xml:space="preserve">       Е-mail: </w:t>
    </w:r>
    <w:hyperlink r:id="rId2"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mail@ayaks.ru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1963420</wp:posOffset>
          </wp:positionH>
          <wp:positionV relativeFrom="paragraph">
            <wp:posOffset>-12696</wp:posOffset>
          </wp:positionV>
          <wp:extent cx="2550795" cy="1140460"/>
          <wp:effectExtent b="0" l="0" r="0" t="0"/>
          <wp:wrapSquare wrapText="bothSides" distB="0" distT="0" distL="114300" distR="114300"/>
          <wp:docPr descr="лого основной" id="1048" name="image1.jpg"/>
          <a:graphic>
            <a:graphicData uri="http://schemas.openxmlformats.org/drawingml/2006/picture">
              <pic:pic>
                <pic:nvPicPr>
                  <pic:cNvPr descr="лого основной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0795" cy="11404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-36191</wp:posOffset>
              </wp:positionH>
              <wp:positionV relativeFrom="paragraph">
                <wp:posOffset>-73021</wp:posOffset>
              </wp:positionV>
              <wp:extent cx="6436995" cy="375920"/>
              <wp:effectExtent b="0" l="0" r="0" t="0"/>
              <wp:wrapNone/>
              <wp:docPr id="104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27500" y="3592025"/>
                        <a:ext cx="6436995" cy="375920"/>
                        <a:chOff x="2127500" y="3592025"/>
                        <a:chExt cx="6437000" cy="375975"/>
                      </a:xfrm>
                    </wpg:grpSpPr>
                    <wpg:grpSp>
                      <wpg:cNvGrpSpPr/>
                      <wpg:grpSpPr>
                        <a:xfrm>
                          <a:off x="2127503" y="3592040"/>
                          <a:ext cx="6436995" cy="375920"/>
                          <a:chOff x="2127500" y="3592025"/>
                          <a:chExt cx="6437000" cy="37627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2127500" y="3592025"/>
                            <a:ext cx="6437000" cy="3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127503" y="3592040"/>
                            <a:ext cx="6436995" cy="375920"/>
                            <a:chOff x="2127500" y="3592025"/>
                            <a:chExt cx="6437000" cy="3794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2127500" y="3592025"/>
                              <a:ext cx="6437000" cy="37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27503" y="3592040"/>
                              <a:ext cx="6436995" cy="375920"/>
                              <a:chOff x="2127500" y="3592025"/>
                              <a:chExt cx="6437000" cy="414050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2127500" y="3592025"/>
                                <a:ext cx="6437000" cy="414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127503" y="3592040"/>
                                <a:ext cx="6436995" cy="375920"/>
                                <a:chOff x="1257" y="7307"/>
                                <a:chExt cx="10137" cy="592"/>
                              </a:xfrm>
                            </wpg:grpSpPr>
                            <wps:wsp>
                              <wps:cNvSpPr/>
                              <wps:cNvPr id="10" name="Shape 10"/>
                              <wps:spPr>
                                <a:xfrm>
                                  <a:off x="1257" y="7307"/>
                                  <a:ext cx="10125" cy="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1257" y="7307"/>
                                  <a:ext cx="10137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3141" y="7355"/>
                                  <a:ext cx="6330" cy="3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FFFFFF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269" y="7899"/>
                                  <a:ext cx="316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76200">
                                  <a:solidFill>
                                    <a:srgbClr val="0000FF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-36191</wp:posOffset>
              </wp:positionH>
              <wp:positionV relativeFrom="paragraph">
                <wp:posOffset>-73021</wp:posOffset>
              </wp:positionV>
              <wp:extent cx="6436995" cy="375920"/>
              <wp:effectExtent b="0" l="0" r="0" t="0"/>
              <wp:wrapNone/>
              <wp:docPr id="104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36995" cy="375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</wp:posOffset>
          </wp:positionH>
          <wp:positionV relativeFrom="paragraph">
            <wp:posOffset>606425</wp:posOffset>
          </wp:positionV>
          <wp:extent cx="1513840" cy="987425"/>
          <wp:effectExtent b="0" l="0" r="0" t="0"/>
          <wp:wrapSquare wrapText="right" distB="0" distT="0" distL="114300" distR="114300"/>
          <wp:docPr id="104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3840" cy="9874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Гиперссылка">
    <w:name w:val="Гиперссылка"/>
    <w:next w:val="Гиперссылка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Просмотреннаягиперссылка">
    <w:name w:val="Просмотренная гиперссылка"/>
    <w:next w:val="Просмотреннаягиперссылка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Выделение">
    <w:name w:val="Выделение"/>
    <w:next w:val="Выделение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widowControl w:val="0"/>
      <w:suppressAutoHyphens w:val="1"/>
      <w:spacing w:line="1" w:lineRule="atLeast"/>
      <w:ind w:left="148" w:leftChars="-1" w:rightChars="0" w:firstLineChars="-1"/>
      <w:textDirection w:val="btLr"/>
      <w:textAlignment w:val="top"/>
      <w:outlineLvl w:val="0"/>
    </w:pPr>
    <w:rPr>
      <w:w w:val="100"/>
      <w:position w:val="-1"/>
      <w:sz w:val="23"/>
      <w:szCs w:val="23"/>
      <w:effect w:val="none"/>
      <w:vertAlign w:val="baseline"/>
      <w:cs w:val="0"/>
      <w:em w:val="none"/>
      <w:lang w:bidi="ar-SA" w:eastAsia="en-US" w:val="en-US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w w:val="100"/>
      <w:position w:val="-1"/>
      <w:sz w:val="23"/>
      <w:szCs w:val="23"/>
      <w:effect w:val="none"/>
      <w:vertAlign w:val="baseline"/>
      <w:cs w:val="0"/>
      <w:em w:val="none"/>
      <w:lang w:eastAsia="en-US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Georgia" w:cs="Georgia" w:eastAsia="Calibri" w:hAnsi="Georgia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TableParagraph">
    <w:name w:val="Table Paragraph"/>
    <w:basedOn w:val="Обычный"/>
    <w:next w:val="TableParagraph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="105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mailto:mail@ayaks.ru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AFINc530RfNSX9jMBUMY9mAlGA==">CgMxLjA4AHIhMTRrZk9nTjNfUFZMMi1pdkVMa1M0YmxnMXJVdV84WnBl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2026-09-07T06:59:00Z</dcterms:created>
  <dc:creator>Serj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