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87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                    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Исх. № б/н от 15.10.2026 г.</w:t>
      </w:r>
    </w:p>
    <w:p w:rsidR="00000000" w:rsidDel="00000000" w:rsidP="00000000" w:rsidRDefault="00000000" w:rsidRPr="00000000" w14:paraId="00000003">
      <w:pPr>
        <w:widowControl w:val="0"/>
        <w:ind w:left="5780" w:firstLine="0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                                                                   </w:t>
      </w:r>
    </w:p>
    <w:p w:rsidR="00000000" w:rsidDel="00000000" w:rsidP="00000000" w:rsidRDefault="00000000" w:rsidRPr="00000000" w14:paraId="00000004">
      <w:pPr>
        <w:widowControl w:val="0"/>
        <w:ind w:left="5780" w:firstLine="0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Директору филиала ФКУ</w:t>
      </w:r>
    </w:p>
    <w:p w:rsidR="00000000" w:rsidDel="00000000" w:rsidP="00000000" w:rsidRDefault="00000000" w:rsidRPr="00000000" w14:paraId="00000005">
      <w:pPr>
        <w:widowControl w:val="0"/>
        <w:jc w:val="righ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«Налог-Сервис» ФНС России по ЦОД в</w:t>
      </w:r>
    </w:p>
    <w:p w:rsidR="00000000" w:rsidDel="00000000" w:rsidP="00000000" w:rsidRDefault="00000000" w:rsidRPr="00000000" w14:paraId="00000006">
      <w:pPr>
        <w:widowControl w:val="0"/>
        <w:jc w:val="righ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г. Дубна Московской области</w:t>
      </w:r>
    </w:p>
    <w:p w:rsidR="00000000" w:rsidDel="00000000" w:rsidP="00000000" w:rsidRDefault="00000000" w:rsidRPr="00000000" w14:paraId="00000007">
      <w:pPr>
        <w:widowControl w:val="0"/>
        <w:jc w:val="righ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С. В. Астахову</w:t>
      </w:r>
    </w:p>
    <w:p w:rsidR="00000000" w:rsidDel="00000000" w:rsidP="00000000" w:rsidRDefault="00000000" w:rsidRPr="00000000" w14:paraId="00000008">
      <w:pPr>
        <w:widowControl w:val="0"/>
        <w:jc w:val="righ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Копия:</w:t>
      </w:r>
    </w:p>
    <w:p w:rsidR="00000000" w:rsidDel="00000000" w:rsidP="00000000" w:rsidRDefault="00000000" w:rsidRPr="00000000" w14:paraId="00000009">
      <w:pPr>
        <w:widowControl w:val="0"/>
        <w:jc w:val="righ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Руководителю дирекции проекта создания ЦОД</w:t>
      </w:r>
    </w:p>
    <w:p w:rsidR="00000000" w:rsidDel="00000000" w:rsidP="00000000" w:rsidRDefault="00000000" w:rsidRPr="00000000" w14:paraId="0000000A">
      <w:pPr>
        <w:widowControl w:val="0"/>
        <w:jc w:val="righ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ФКУ «Налог-Сервис» ФНС России</w:t>
      </w:r>
    </w:p>
    <w:p w:rsidR="00000000" w:rsidDel="00000000" w:rsidP="00000000" w:rsidRDefault="00000000" w:rsidRPr="00000000" w14:paraId="0000000B">
      <w:pPr>
        <w:widowControl w:val="0"/>
        <w:jc w:val="righ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Виноградову С.Ю.</w:t>
      </w:r>
    </w:p>
    <w:p w:rsidR="00000000" w:rsidDel="00000000" w:rsidP="00000000" w:rsidRDefault="00000000" w:rsidRPr="00000000" w14:paraId="0000000C">
      <w:pPr>
        <w:widowControl w:val="0"/>
        <w:ind w:left="1020" w:right="116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Уважаемый Сергей Валерьевич!</w:t>
      </w:r>
    </w:p>
    <w:p w:rsidR="00000000" w:rsidDel="00000000" w:rsidP="00000000" w:rsidRDefault="00000000" w:rsidRPr="00000000" w14:paraId="0000000E">
      <w:pPr>
        <w:widowControl w:val="0"/>
        <w:spacing w:after="80"/>
        <w:ind w:firstLine="5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Настоящим информируем, что в ходе выполнения работ по модернизации системы бесперебойного электропитания технологической зоны на объекте Филиала ФКУ «Налог-Сервис» ФНС России по ЦОД в г. Дубна (Государственный контракт № ГК-08-194/25 от 29.01.2026) приёмо-сдаточные испытания электроустановок проведены, а испытание под нагрузкой продолжительностью 72 часа не проводилось, так как оно не предусмотрено условиями выполнения работ. Основания:</w:t>
      </w:r>
    </w:p>
    <w:p w:rsidR="00000000" w:rsidDel="00000000" w:rsidP="00000000" w:rsidRDefault="00000000" w:rsidRPr="00000000" w14:paraId="0000000E">
      <w:pPr>
        <w:widowControl w:val="0"/>
        <w:spacing w:after="80"/>
        <w:ind w:firstLine="56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 xml:space="preserve">1. Контракт и договор.</w:t>
      </w:r>
      <w:r w:rsidDel="00000000" w:rsidR="00000000" w:rsidRPr="00000000">
        <w:rPr>
          <w:sz w:val="24"/>
          <w:szCs w:val="24"/>
          <w:rtl w:val="0"/>
        </w:rPr>
        <w:t xml:space="preserve"> Контракт и договорная документация по нему не устанавливают обязанность Подрядчика проводить испытание электроустановок под нагрузкой в течение 72 часов, а также критерии и порядок приёмки по его результатам.</w:t>
      </w:r>
    </w:p>
    <w:p w:rsidR="00000000" w:rsidDel="00000000" w:rsidP="00000000" w:rsidRDefault="00000000" w:rsidRPr="00000000" w14:paraId="0000000E">
      <w:pPr>
        <w:widowControl w:val="0"/>
        <w:spacing w:after="80"/>
        <w:ind w:firstLine="56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 xml:space="preserve">2. Техническое задание (Приложение № 1 к договору).</w:t>
      </w:r>
      <w:r w:rsidDel="00000000" w:rsidR="00000000" w:rsidRPr="00000000">
        <w:rPr>
          <w:sz w:val="24"/>
          <w:szCs w:val="24"/>
          <w:rtl w:val="0"/>
        </w:rPr>
        <w:t xml:space="preserve"> В разделе «Требования к порядку и качеству производства монтажных и пусконаладочных работ» состав испытаний по разделу «Система электроснабжения» определён как лабораторные испытания электроустановок и кабельных линий и пусконаладочные работы на вновь установленных источниках бесперебойного питания с применением резистивных нагрузочных модулей соответствующей номинальной мощности. Продолжительность испытаний под нагрузкой в 72 часа в Техническом задании не установлена. Результатом испытаний электроустановки является технический отчёт.</w:t>
      </w:r>
    </w:p>
    <w:p w:rsidR="00000000" w:rsidDel="00000000" w:rsidP="00000000" w:rsidRDefault="00000000" w:rsidRPr="00000000" w14:paraId="0000000E">
      <w:pPr>
        <w:widowControl w:val="0"/>
        <w:spacing w:after="80"/>
        <w:ind w:firstLine="56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 xml:space="preserve">3. Программа и методика испытаний (ПМИ).</w:t>
      </w:r>
      <w:r w:rsidDel="00000000" w:rsidR="00000000" w:rsidRPr="00000000">
        <w:rPr>
          <w:sz w:val="24"/>
          <w:szCs w:val="24"/>
          <w:rtl w:val="0"/>
        </w:rPr>
        <w:t xml:space="preserve"> Испытания проводятся по ПМИ, разработанным Подрядчиком в соответствии с Техническим заданием. Для системы кондиционирования технологических помещений Технологической зоны №1 это «Программа и методика индивидуальных испытаний прецизионных кондиционеров серии XRow» (код документа Д/ФНС.2024-СКТП): предварительная длительность испытаний составляет 4 (четыре) часа (п. 4.2), испытание под нагрузкой продолжительностью 72 часа не предусмотрено.</w:t>
      </w:r>
    </w:p>
    <w:p w:rsidR="00000000" w:rsidDel="00000000" w:rsidP="00000000" w:rsidRDefault="00000000" w:rsidRPr="00000000" w14:paraId="0000000E">
      <w:pPr>
        <w:widowControl w:val="0"/>
        <w:spacing w:after="80"/>
        <w:ind w:firstLine="56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 xml:space="preserve">4. Нормативные требования.</w:t>
      </w:r>
      <w:r w:rsidDel="00000000" w:rsidR="00000000" w:rsidRPr="00000000">
        <w:rPr>
          <w:sz w:val="24"/>
          <w:szCs w:val="24"/>
          <w:rtl w:val="0"/>
        </w:rPr>
        <w:t xml:space="preserve"> Объём и нормы приёмо-сдаточных испытаний электроустановок напряжением до 1 кВ установлены главой 1.8 ПУЭ (7-е изд.) и приложением 3 к Правилам технической эксплуатации электроустановок потребителей (утв. приказом Минэнерго России от 12.08.2022 № 811). Они предусматривают, в частности, измерение сопротивления изоляции и проверку параметров цепи «фаза–нуль» (заземляющих устройств). Обязательного испытания таких электроустановок под нагрузкой в течение 72 часов указанные документы не устанавливают.</w:t>
      </w:r>
    </w:p>
    <w:p w:rsidR="00000000" w:rsidDel="00000000" w:rsidP="00000000" w:rsidRDefault="00000000" w:rsidRPr="00000000" w14:paraId="0000000E">
      <w:pPr>
        <w:widowControl w:val="0"/>
        <w:spacing w:after="80"/>
        <w:ind w:firstLine="5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Выполненные испытания подтверждаются протоколами измерения сопротивления изоляции № ____ от __.__.2026 г. и измерения сопротивления № ____ от __.__.2026 г. (копии прилагаются); результаты соответствуют нормируемым значениям. Пусконаладочные работы на источниках бесперебойного питания проведены с применением резистивных нагрузочных модулей в соответствии с Техническим заданием.</w:t>
      </w:r>
    </w:p>
    <w:p w:rsidR="00000000" w:rsidDel="00000000" w:rsidP="00000000" w:rsidRDefault="00000000" w:rsidRPr="00000000" w14:paraId="0000000E">
      <w:pPr>
        <w:widowControl w:val="0"/>
        <w:spacing w:after="80"/>
        <w:ind w:firstLine="5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На основании изложенного электроустановки Объекта испытаны в объёме, установленном Контрактом, Техническим заданием, ПМИ и действующими нормативными документами. Непроведение испытания под нагрузкой продолжительностью 72 часа не является нарушением условий выполнения работ. Если проведение такого испытания Вы считаете необходимым, просим направить письменное требование с указанием основания (пункт договора, проекта или технических условий); срок и условия его проведения будут согласованы дополнительно.</w:t>
      </w:r>
    </w:p>
    <w:p w:rsidR="00000000" w:rsidDel="00000000" w:rsidP="00000000" w:rsidRDefault="00000000" w:rsidRPr="00000000" w14:paraId="0000000E">
      <w:pPr>
        <w:widowControl w:val="0"/>
        <w:spacing w:after="80"/>
        <w:ind w:left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Приложение: протоколы испытаний на ___ л. в 1 экз.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252" w:right="103" w:hanging="252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0" distT="0" distL="114300" distR="114300">
            <wp:extent cx="3845560" cy="911225"/>
            <wp:effectExtent b="0" l="0" r="0" t="0"/>
            <wp:docPr id="1049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45560" cy="911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6838" w:w="11906" w:orient="portrait"/>
      <w:pgMar w:bottom="1134" w:top="1134" w:left="1134" w:right="566" w:header="539" w:footer="35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"/>
      <w:tblW w:w="15450.0" w:type="dxa"/>
      <w:jc w:val="left"/>
      <w:tblInd w:w="142.0" w:type="dxa"/>
      <w:tblLayout w:type="fixed"/>
      <w:tblLook w:val="0000"/>
    </w:tblPr>
    <w:tblGrid>
      <w:gridCol w:w="3119"/>
      <w:gridCol w:w="3543"/>
      <w:gridCol w:w="8788"/>
      <w:tblGridChange w:id="0">
        <w:tblGrid>
          <w:gridCol w:w="3119"/>
          <w:gridCol w:w="3543"/>
          <w:gridCol w:w="8788"/>
        </w:tblGrid>
      </w:tblGridChange>
    </w:tblGrid>
    <w:tr>
      <w:trPr>
        <w:cantSplit w:val="0"/>
        <w:trHeight w:val="849" w:hRule="atLeast"/>
        <w:tblHeader w:val="0"/>
      </w:trPr>
      <w:tc>
        <w:tcPr>
          <w:vAlign w:val="top"/>
        </w:tcPr>
        <w:p w:rsidR="00000000" w:rsidDel="00000000" w:rsidP="00000000" w:rsidRDefault="00000000" w:rsidRPr="00000000" w14:paraId="0000001B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2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ООО «ДИСИАЙ СОЛЮШНС»</w:t>
          </w:r>
        </w:p>
      </w:tc>
      <w:tc>
        <w:tcPr>
          <w:vAlign w:val="top"/>
        </w:tcPr>
        <w:p w:rsidR="00000000" w:rsidDel="00000000" w:rsidP="00000000" w:rsidRDefault="00000000" w:rsidRPr="00000000" w14:paraId="0000001C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2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127081, г. Москва, проезд Дежнева, дом 1, 4 этаж, пом.VI, ком.10.1</w:t>
          </w:r>
        </w:p>
        <w:p w:rsidR="00000000" w:rsidDel="00000000" w:rsidP="00000000" w:rsidRDefault="00000000" w:rsidRPr="00000000" w14:paraId="0000001D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ОГРН 1187746032572</w:t>
          </w:r>
        </w:p>
        <w:p w:rsidR="00000000" w:rsidDel="00000000" w:rsidP="00000000" w:rsidRDefault="00000000" w:rsidRPr="00000000" w14:paraId="0000001E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ИНН 7716888076/771501001</w:t>
          </w:r>
        </w:p>
      </w:tc>
      <w:tc>
        <w:tcPr>
          <w:vAlign w:val="top"/>
        </w:tcPr>
        <w:p w:rsidR="00000000" w:rsidDel="00000000" w:rsidP="00000000" w:rsidRDefault="00000000" w:rsidRPr="00000000" w14:paraId="0000001F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р/с 40702810301100013895</w:t>
          </w:r>
        </w:p>
        <w:p w:rsidR="00000000" w:rsidDel="00000000" w:rsidP="00000000" w:rsidRDefault="00000000" w:rsidRPr="00000000" w14:paraId="0000002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АО «Альфа-Банк» г. Москва</w:t>
          </w:r>
        </w:p>
        <w:p w:rsidR="00000000" w:rsidDel="00000000" w:rsidP="00000000" w:rsidRDefault="00000000" w:rsidRPr="00000000" w14:paraId="00000021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к/с 30101810200000000593</w:t>
          </w:r>
        </w:p>
        <w:p w:rsidR="00000000" w:rsidDel="00000000" w:rsidP="00000000" w:rsidRDefault="00000000" w:rsidRPr="00000000" w14:paraId="00000022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БИК 044525593</w:t>
          </w:r>
        </w:p>
      </w:tc>
    </w:tr>
  </w:tbl>
  <w:p w:rsidR="00000000" w:rsidDel="00000000" w:rsidP="00000000" w:rsidRDefault="00000000" w:rsidRPr="00000000" w14:paraId="0000002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-36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ff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ff"/>
        <w:sz w:val="24"/>
        <w:szCs w:val="24"/>
        <w:u w:val="none"/>
        <w:shd w:fill="auto" w:val="clear"/>
        <w:vertAlign w:val="baseline"/>
        <w:rtl w:val="0"/>
      </w:rPr>
      <w:t xml:space="preserve">129347, г. Москва, ул. Холмогорская, д. 6, к. 2                      </w:t>
      <w:tab/>
      <w:t xml:space="preserve">       Тел.: 105-05-02, Факс: 188-93-74  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-55239</wp:posOffset>
              </wp:positionH>
              <wp:positionV relativeFrom="paragraph">
                <wp:posOffset>-382264</wp:posOffset>
              </wp:positionV>
              <wp:extent cx="6475095" cy="160020"/>
              <wp:effectExtent b="0" l="0" r="0" t="0"/>
              <wp:wrapNone/>
              <wp:docPr id="1044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2127503" y="3719040"/>
                        <a:ext cx="6436995" cy="121920"/>
                      </a:xfrm>
                      <a:prstGeom prst="rect">
                        <a:avLst/>
                      </a:prstGeom>
                      <a:solidFill>
                        <a:srgbClr val="FF0000"/>
                      </a:solidFill>
                      <a:ln cap="flat" cmpd="sng" w="9525">
                        <a:solidFill>
                          <a:srgbClr val="FF0000"/>
                        </a:solidFill>
                        <a:prstDash val="solid"/>
                        <a:miter lim="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-55239</wp:posOffset>
              </wp:positionH>
              <wp:positionV relativeFrom="paragraph">
                <wp:posOffset>-382264</wp:posOffset>
              </wp:positionV>
              <wp:extent cx="6475095" cy="160020"/>
              <wp:effectExtent b="0" l="0" r="0" t="0"/>
              <wp:wrapNone/>
              <wp:docPr id="1044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475095" cy="16002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4276725</wp:posOffset>
              </wp:positionH>
              <wp:positionV relativeFrom="paragraph">
                <wp:posOffset>-165096</wp:posOffset>
              </wp:positionV>
              <wp:extent cx="635" cy="76200"/>
              <wp:effectExtent b="0" l="0" r="0" t="0"/>
              <wp:wrapNone/>
              <wp:docPr id="1046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4341113" y="3779683"/>
                        <a:ext cx="2009775" cy="635"/>
                      </a:xfrm>
                      <a:prstGeom prst="straightConnector1">
                        <a:avLst/>
                      </a:prstGeom>
                      <a:noFill/>
                      <a:ln cap="flat" cmpd="sng" w="76200">
                        <a:solidFill>
                          <a:srgbClr val="FF0000"/>
                        </a:solidFill>
                        <a:prstDash val="solid"/>
                        <a:miter lim="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4276725</wp:posOffset>
              </wp:positionH>
              <wp:positionV relativeFrom="paragraph">
                <wp:posOffset>-165096</wp:posOffset>
              </wp:positionV>
              <wp:extent cx="635" cy="76200"/>
              <wp:effectExtent b="0" l="0" r="0" t="0"/>
              <wp:wrapNone/>
              <wp:docPr id="1046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5" cy="762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2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5664" w:right="-105" w:firstLine="707.9999999999995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ff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ff"/>
        <w:sz w:val="24"/>
        <w:szCs w:val="24"/>
        <w:u w:val="none"/>
        <w:shd w:fill="auto" w:val="clear"/>
        <w:vertAlign w:val="baseline"/>
        <w:rtl w:val="0"/>
      </w:rPr>
      <w:t xml:space="preserve">       Е-mail: </w:t>
    </w:r>
    <w:hyperlink r:id="rId2"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single"/>
          <w:shd w:fill="auto" w:val="clear"/>
          <w:vertAlign w:val="baseline"/>
          <w:rtl w:val="0"/>
        </w:rPr>
        <w:t xml:space="preserve">mail@ayaks.ru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1963420</wp:posOffset>
          </wp:positionH>
          <wp:positionV relativeFrom="paragraph">
            <wp:posOffset>-12696</wp:posOffset>
          </wp:positionV>
          <wp:extent cx="2550795" cy="1140460"/>
          <wp:effectExtent b="0" l="0" r="0" t="0"/>
          <wp:wrapSquare wrapText="bothSides" distB="0" distT="0" distL="114300" distR="114300"/>
          <wp:docPr descr="лого основной" id="1048" name="image1.jpg"/>
          <a:graphic>
            <a:graphicData uri="http://schemas.openxmlformats.org/drawingml/2006/picture">
              <pic:pic>
                <pic:nvPicPr>
                  <pic:cNvPr descr="лого основной"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550795" cy="114046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1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-36191</wp:posOffset>
              </wp:positionH>
              <wp:positionV relativeFrom="paragraph">
                <wp:posOffset>-73021</wp:posOffset>
              </wp:positionV>
              <wp:extent cx="6436995" cy="375920"/>
              <wp:effectExtent b="0" l="0" r="0" t="0"/>
              <wp:wrapNone/>
              <wp:docPr id="104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2127500" y="3592025"/>
                        <a:ext cx="6436995" cy="375920"/>
                        <a:chOff x="2127500" y="3592025"/>
                        <a:chExt cx="6437000" cy="375975"/>
                      </a:xfrm>
                    </wpg:grpSpPr>
                    <wpg:grpSp>
                      <wpg:cNvGrpSpPr/>
                      <wpg:grpSpPr>
                        <a:xfrm>
                          <a:off x="2127503" y="3592040"/>
                          <a:ext cx="6436995" cy="375920"/>
                          <a:chOff x="2127500" y="3592025"/>
                          <a:chExt cx="6437000" cy="376275"/>
                        </a:xfrm>
                      </wpg:grpSpPr>
                      <wps:wsp>
                        <wps:cNvSpPr/>
                        <wps:cNvPr id="4" name="Shape 4"/>
                        <wps:spPr>
                          <a:xfrm>
                            <a:off x="2127500" y="3592025"/>
                            <a:ext cx="6437000" cy="37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2127503" y="3592040"/>
                            <a:ext cx="6436995" cy="375920"/>
                            <a:chOff x="2127500" y="3592025"/>
                            <a:chExt cx="6437000" cy="379450"/>
                          </a:xfrm>
                        </wpg:grpSpPr>
                        <wps:wsp>
                          <wps:cNvSpPr/>
                          <wps:cNvPr id="6" name="Shape 6"/>
                          <wps:spPr>
                            <a:xfrm>
                              <a:off x="2127500" y="3592025"/>
                              <a:ext cx="6437000" cy="3794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2127503" y="3592040"/>
                              <a:ext cx="6436995" cy="375920"/>
                              <a:chOff x="2127500" y="3592025"/>
                              <a:chExt cx="6437000" cy="414050"/>
                            </a:xfrm>
                          </wpg:grpSpPr>
                          <wps:wsp>
                            <wps:cNvSpPr/>
                            <wps:cNvPr id="8" name="Shape 8"/>
                            <wps:spPr>
                              <a:xfrm>
                                <a:off x="2127500" y="3592025"/>
                                <a:ext cx="6437000" cy="4140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2127503" y="3592040"/>
                                <a:ext cx="6436995" cy="375920"/>
                                <a:chOff x="1257" y="7307"/>
                                <a:chExt cx="10137" cy="592"/>
                              </a:xfrm>
                            </wpg:grpSpPr>
                            <wps:wsp>
                              <wps:cNvSpPr/>
                              <wps:cNvPr id="10" name="Shape 10"/>
                              <wps:spPr>
                                <a:xfrm>
                                  <a:off x="1257" y="7307"/>
                                  <a:ext cx="10125" cy="5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1" name="Shape 11"/>
                              <wps:spPr>
                                <a:xfrm>
                                  <a:off x="1257" y="7307"/>
                                  <a:ext cx="10137" cy="432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00FF"/>
                                </a:solidFill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2" name="Shape 12"/>
                              <wps:spPr>
                                <a:xfrm>
                                  <a:off x="3141" y="7355"/>
                                  <a:ext cx="6330" cy="3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cap="flat" cmpd="sng" w="9525">
                                  <a:solidFill>
                                    <a:srgbClr val="FFFFFF"/>
                                  </a:solidFill>
                                  <a:prstDash val="solid"/>
                                  <a:miter lim="0"/>
                                  <a:headEnd len="sm" w="sm" type="none"/>
                                  <a:tailEnd len="sm" w="sm" type="none"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CnPr/>
                              <wps:spPr>
                                <a:xfrm>
                                  <a:off x="1269" y="7899"/>
                                  <a:ext cx="3165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cap="flat" cmpd="sng" w="76200">
                                  <a:solidFill>
                                    <a:srgbClr val="0000FF"/>
                                  </a:solidFill>
                                  <a:prstDash val="solid"/>
                                  <a:miter lim="0"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-36191</wp:posOffset>
              </wp:positionH>
              <wp:positionV relativeFrom="paragraph">
                <wp:posOffset>-73021</wp:posOffset>
              </wp:positionV>
              <wp:extent cx="6436995" cy="375920"/>
              <wp:effectExtent b="0" l="0" r="0" t="0"/>
              <wp:wrapNone/>
              <wp:docPr id="1045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436995" cy="37592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</wp:posOffset>
          </wp:positionH>
          <wp:positionV relativeFrom="paragraph">
            <wp:posOffset>606425</wp:posOffset>
          </wp:positionV>
          <wp:extent cx="1513840" cy="987425"/>
          <wp:effectExtent b="0" l="0" r="0" t="0"/>
          <wp:wrapSquare wrapText="right" distB="0" distT="0" distL="114300" distR="114300"/>
          <wp:docPr id="1047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13840" cy="98742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Обычный">
    <w:name w:val="Обычный"/>
    <w:next w:val="Обычный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ru-RU" w:val="ru-RU"/>
    </w:rPr>
  </w:style>
  <w:style w:type="character" w:styleId="Основнойшрифтабзаца">
    <w:name w:val="Основной шрифт абзаца"/>
    <w:next w:val="Основнойшрифтабзаца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Обычнаятаблица">
    <w:name w:val="Обычная таблица"/>
    <w:next w:val="Обычнаятаблица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Нетсписка">
    <w:name w:val="Нет списка"/>
    <w:next w:val="Нетсписка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Верхнийколонтитул">
    <w:name w:val="Верхний колонтитул"/>
    <w:basedOn w:val="Обычный"/>
    <w:next w:val="Верхнийколонтитул"/>
    <w:autoRedefine w:val="0"/>
    <w:hidden w:val="0"/>
    <w:qFormat w:val="0"/>
    <w:pPr>
      <w:tabs>
        <w:tab w:val="center" w:leader="none" w:pos="4677"/>
        <w:tab w:val="right" w:leader="none" w:pos="9355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ru-RU" w:val="ru-RU"/>
    </w:rPr>
  </w:style>
  <w:style w:type="paragraph" w:styleId="Нижнийколонтитул">
    <w:name w:val="Нижний колонтитул"/>
    <w:basedOn w:val="Обычный"/>
    <w:next w:val="Нижнийколонтитул"/>
    <w:autoRedefine w:val="0"/>
    <w:hidden w:val="0"/>
    <w:qFormat w:val="0"/>
    <w:pPr>
      <w:tabs>
        <w:tab w:val="center" w:leader="none" w:pos="4677"/>
        <w:tab w:val="right" w:leader="none" w:pos="9355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ru-RU" w:val="ru-RU"/>
    </w:rPr>
  </w:style>
  <w:style w:type="character" w:styleId="Гиперссылка">
    <w:name w:val="Гиперссылка"/>
    <w:next w:val="Гиперссылка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character" w:styleId="Просмотреннаягиперссылка">
    <w:name w:val="Просмотренная гиперссылка"/>
    <w:next w:val="Просмотреннаягиперссылка"/>
    <w:autoRedefine w:val="0"/>
    <w:hidden w:val="0"/>
    <w:qFormat w:val="0"/>
    <w:rPr>
      <w:color w:val="800080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Текствыноски">
    <w:name w:val="Текст выноски"/>
    <w:basedOn w:val="Обычный"/>
    <w:next w:val="Текствыноски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  <w:lang w:bidi="ar-SA" w:eastAsia="ru-RU" w:val="ru-RU"/>
    </w:rPr>
  </w:style>
  <w:style w:type="character" w:styleId="ТекствыноскиЗнак">
    <w:name w:val="Текст выноски Знак"/>
    <w:next w:val="ТекствыноскиЗнак"/>
    <w:autoRedefine w:val="0"/>
    <w:hidden w:val="0"/>
    <w:qFormat w:val="0"/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  <w:lang/>
    </w:rPr>
  </w:style>
  <w:style w:type="character" w:styleId="Выделение">
    <w:name w:val="Выделение"/>
    <w:next w:val="Выделение"/>
    <w:autoRedefine w:val="0"/>
    <w:hidden w:val="0"/>
    <w:qFormat w:val="0"/>
    <w:rPr>
      <w:i w:val="1"/>
      <w:iCs w:val="1"/>
      <w:w w:val="100"/>
      <w:position w:val="-1"/>
      <w:effect w:val="none"/>
      <w:vertAlign w:val="baseline"/>
      <w:cs w:val="0"/>
      <w:em w:val="none"/>
      <w:lang/>
    </w:rPr>
  </w:style>
  <w:style w:type="paragraph" w:styleId="Обычный(веб)">
    <w:name w:val="Обычный (веб)"/>
    <w:basedOn w:val="Обычный"/>
    <w:next w:val="Обычный(веб)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ru-RU" w:val="ru-RU"/>
    </w:rPr>
  </w:style>
  <w:style w:type="table" w:styleId="Сеткатаблицы">
    <w:name w:val="Сетка таблицы"/>
    <w:basedOn w:val="Обычнаятаблица"/>
    <w:next w:val="Сеткатаблицы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Calibri" w:cs="Times New Roman" w:eastAsia="Calibri" w:hAnsi="Calibri"/>
      <w:w w:val="100"/>
      <w:position w:val="-1"/>
      <w:sz w:val="22"/>
      <w:szCs w:val="22"/>
      <w:effect w:val="none"/>
      <w:vertAlign w:val="baseline"/>
      <w:cs w:val="0"/>
      <w:em w:val="none"/>
      <w:lang w:eastAsia="en-US"/>
    </w:rPr>
    <w:tblPr>
      <w:tblStyle w:val="Сеткатаблицы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Основнойтекст">
    <w:name w:val="Основной текст"/>
    <w:basedOn w:val="Обычный"/>
    <w:next w:val="Основнойтекст"/>
    <w:autoRedefine w:val="0"/>
    <w:hidden w:val="0"/>
    <w:qFormat w:val="0"/>
    <w:pPr>
      <w:widowControl w:val="0"/>
      <w:suppressAutoHyphens w:val="1"/>
      <w:spacing w:line="1" w:lineRule="atLeast"/>
      <w:ind w:left="148" w:leftChars="-1" w:rightChars="0" w:firstLineChars="-1"/>
      <w:textDirection w:val="btLr"/>
      <w:textAlignment w:val="top"/>
      <w:outlineLvl w:val="0"/>
    </w:pPr>
    <w:rPr>
      <w:w w:val="100"/>
      <w:position w:val="-1"/>
      <w:sz w:val="23"/>
      <w:szCs w:val="23"/>
      <w:effect w:val="none"/>
      <w:vertAlign w:val="baseline"/>
      <w:cs w:val="0"/>
      <w:em w:val="none"/>
      <w:lang w:bidi="ar-SA" w:eastAsia="en-US" w:val="en-US"/>
    </w:rPr>
  </w:style>
  <w:style w:type="character" w:styleId="ОсновнойтекстЗнак">
    <w:name w:val="Основной текст Знак"/>
    <w:next w:val="ОсновнойтекстЗнак"/>
    <w:autoRedefine w:val="0"/>
    <w:hidden w:val="0"/>
    <w:qFormat w:val="0"/>
    <w:rPr>
      <w:w w:val="100"/>
      <w:position w:val="-1"/>
      <w:sz w:val="23"/>
      <w:szCs w:val="23"/>
      <w:effect w:val="none"/>
      <w:vertAlign w:val="baseline"/>
      <w:cs w:val="0"/>
      <w:em w:val="none"/>
      <w:lang w:eastAsia="en-US" w:val="en-US"/>
    </w:rPr>
  </w:style>
  <w:style w:type="paragraph" w:styleId="Default">
    <w:name w:val="Default"/>
    <w:next w:val="Default"/>
    <w:autoRedefine w:val="0"/>
    <w:hidden w:val="0"/>
    <w:qFormat w:val="0"/>
    <w:pPr>
      <w:suppressAutoHyphens w:val="1"/>
      <w:autoSpaceDE w:val="0"/>
      <w:autoSpaceDN w:val="0"/>
      <w:adjustRightInd w:val="0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Georgia" w:cs="Georgia" w:eastAsia="Calibri" w:hAnsi="Georgia"/>
      <w:color w:val="000000"/>
      <w:w w:val="100"/>
      <w:position w:val="-1"/>
      <w:sz w:val="24"/>
      <w:szCs w:val="24"/>
      <w:effect w:val="none"/>
      <w:vertAlign w:val="baseline"/>
      <w:cs w:val="0"/>
      <w:em w:val="none"/>
      <w:lang w:bidi="ar-SA" w:eastAsia="ru-RU" w:val="ru-RU"/>
    </w:rPr>
  </w:style>
  <w:style w:type="paragraph" w:styleId="Абзацсписка">
    <w:name w:val="Абзац списка"/>
    <w:basedOn w:val="Обычный"/>
    <w:next w:val="Абзацсписка"/>
    <w:autoRedefine w:val="0"/>
    <w:hidden w:val="0"/>
    <w:qFormat w:val="0"/>
    <w:pPr>
      <w:suppressAutoHyphens w:val="1"/>
      <w:spacing w:line="1" w:lineRule="atLeast"/>
      <w:ind w:left="720" w:leftChars="-1" w:rightChars="0" w:firstLineChars="-1"/>
      <w:textDirection w:val="btLr"/>
      <w:textAlignment w:val="top"/>
      <w:outlineLvl w:val="0"/>
    </w:pPr>
    <w:rPr>
      <w:rFonts w:ascii="Calibri" w:cs="Calibri" w:eastAsia="Calibri" w:hAnsi="Calibri"/>
      <w:w w:val="100"/>
      <w:position w:val="-1"/>
      <w:sz w:val="22"/>
      <w:szCs w:val="22"/>
      <w:effect w:val="none"/>
      <w:vertAlign w:val="baseline"/>
      <w:cs w:val="0"/>
      <w:em w:val="none"/>
      <w:lang w:bidi="ar-SA" w:eastAsia="en-US" w:val="ru-RU"/>
    </w:rPr>
  </w:style>
  <w:style w:type="paragraph" w:styleId="TableParagraph">
    <w:name w:val="Table Paragraph"/>
    <w:basedOn w:val="Обычный"/>
    <w:next w:val="TableParagraph"/>
    <w:autoRedefine w:val="0"/>
    <w:hidden w:val="0"/>
    <w:qFormat w:val="0"/>
    <w:pPr>
      <w:widowControl w:val="0"/>
      <w:suppressAutoHyphens w:val="1"/>
      <w:autoSpaceDE w:val="0"/>
      <w:autoSpaceDN w:val="0"/>
      <w:adjustRightInd w:val="0"/>
      <w:spacing w:line="1" w:lineRule="atLeast"/>
      <w:ind w:left="105"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ru-RU" w:val="ru-RU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jpg"/><Relationship Id="rId8" Type="http://schemas.openxmlformats.org/officeDocument/2006/relationships/header" Target="header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hyperlink" Target="mailto:mail@ayaks.ru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AFINc530RfNSX9jMBUMY9mAlGA==">CgMxLjA4AHIhMTRrZk9nTjNfUFZMMi1pdkVMa1M0YmxnMXJVdV84WnBl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2026-09-07T06:59:00Z</dcterms:created>
  <dc:creator>Serj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