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ACTION PLAN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Incentivizing Senior-to-Family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Homeowner Transition in Rockville Centre</w:t>
      </w:r>
    </w:p>
    <w:p>
      <w:pPr>
        <w:pBdr>
          <w:bottom w:val="single" w:color="2E75B6" w:sz="6" w:space="1"/>
        </w:pBdr>
        <w:spacing w:after="4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A Multi-Level Lobbying &amp; Policy Strategy</w:t>
      </w:r>
    </w:p>
    <w:p>
      <w:pPr>
        <w:spacing w:before="60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for: Village of Rockville Centre Stakeholders</w:t>
      </w:r>
    </w:p>
    <w:p>
      <w:pPr>
        <w:jc w:val="center"/>
      </w:pPr>
      <w:r>
        <w:rPr>
          <w:rFonts w:ascii="Arial" w:cs="Arial" w:eastAsia="Arial" w:hAnsi="Arial"/>
          <w:sz w:val="22"/>
          <w:szCs w:val="22"/>
        </w:rPr>
        <w:t xml:space="preserve">Date: March 2026 | Version 3.0 (MaryBeth Joyce data update)</w:t>
      </w:r>
    </w:p>
    <w:p>
      <w:pPr>
        <w:spacing w:before="200"/>
        <w:jc w:val="center"/>
      </w:pPr>
      <w:r>
        <w:rPr>
          <w:rFonts w:ascii="Arial" w:cs="Arial" w:eastAsia="Arial" w:hAnsi="Arial"/>
          <w:b/>
          <w:bCs/>
          <w:color w:val="548235"/>
          <w:sz w:val="22"/>
          <w:szCs w:val="22"/>
        </w:rPr>
        <w:t xml:space="preserve">Fiscal Impact: $688K–$3.4M annually in recaptured school tax revenue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Rockville Centre faces a structural fiscal challenge: approximately 1,404 senior-owned residential parcels (~18% of ~7,800 owner-occupied homes) receive substantial school tax exemptions through RPTL §467 and Enhanced STAR, reducing annual school tax revenue by an estimated $4,900 per parcel—a total annual revenue gap of roughly $6.9 million. The RVC school district currently operates on a ~$135 million budget with per-pupil spending of $42,050 (among the highest on Long Island), but projects a $3.78 million deficit for 2026-27 while total revenues may grow only ~1% ($1.4M). Enrollment has declined to a projected 3,260 students (down from 3,548 in 2016), and unrestricted reserves stand at just $8 million (8% of expenditures)—well below the 14% peer district average and a fraction of Garden City’s $27M on a similar budget.</w:t>
      </w:r>
    </w:p>
    <w:p>
      <w:pPr>
        <w:spacing w:after="200"/>
      </w:pPr>
      <w:r>
        <w:t xml:space="preserve">This plan proposes a coordinated advocacy strategy at the federal, state, county, and local levels to incentivize voluntary housing turnover from exempt senior homeowners to tax-paying families with school-age children. The approach focuses on </w:t>
      </w:r>
      <w:r>
        <w:rPr>
          <w:b/>
          <w:bCs/>
        </w:rPr>
        <w:t xml:space="preserve">removing barriers to moving</w:t>
      </w:r>
      <w:r>
        <w:t xml:space="preserve"> (not reducing current benefits), making it a politically viable "carrots, not sticks" strategy.</w:t>
      </w:r>
    </w:p>
    <w:p>
      <w:pPr>
        <w:spacing w:after="200"/>
      </w:pPr>
      <w:r>
        <w:t xml:space="preserve">At just 10% replacement (140 parcels), the district would gain ~$688,000 in annual school tax revenue and absorb ~196 new students into existing spare capacity. At 30% replacement, the gain reaches $2.1 million—covering 54% of the projected deficit. These transitions also generate $378K–$1.9M in additional village and county tax revenue, plus one-time NYS transfer tax receipts of $410K–$2.1M.</w:t>
      </w:r>
    </w:p>
    <w:p>
      <w:pPr>
        <w:pStyle w:val="Heading2"/>
      </w:pPr>
      <w:r>
        <w:t xml:space="preserve">Key Data Points (Updated from MaryBeth Joyce / RVC Tax Calculator)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Current Annual Budget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~$135 million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MaryBeth Joyce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2025-26 Approved Budget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$139.89 million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 Herald / District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Per-Pupil Spending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$42,050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RVC Tax Calculator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Effective Property Tax Rate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2.073%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RVC Tax Calculator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Avg Total Property Tax (median home)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$15,230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RVC Tax Calculator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School District Share of Prop Tax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62% (~$9,443)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RVC Tax Calculator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Median Home Value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$735,000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RVC Tax Calculator / ACS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Homeownership Rate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78%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RVC Tax Calculator / ACS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Property Tax Levy (2025-26)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$109.24 million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 Herald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2026-27 Tax Levy Cap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2.1%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MaryBeth Joyce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Enrollment (2025-26)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3,326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 Herald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Enrollment (2026-27 projected)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3,260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RVC Tax Calculator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Projected Deficit (2026-27)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$3.78 million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 Herald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Revenue Growth (2026-27)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~1% ($1.4M)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MaryBeth Joyce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Health Insurance Increase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+10% (~$2M)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MaryBeth Joyce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Unrestricted Reserves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$8M (8% of budget)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MaryBeth Joyce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Peer District Reserve Average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14% of budget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MaryBeth Joyce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Basic STAR Savings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$1,220/household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RVC Tax Calculator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Enhanced STAR Savings (65+)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$2,680/household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RVC Tax Calculator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Median Senior HH Income (65+)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$82,000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RVC Tax Calculator / ACS</w:t>
            </w:r>
          </w:p>
        </w:tc>
      </w:tr>
    </w:tbl>
    <w:p>
      <w:pPr>
        <w:pStyle w:val="Heading1"/>
      </w:pPr>
      <w:r>
        <w:t xml:space="preserve">The Problem: Structural Tax Base Erosion</w:t>
      </w:r>
    </w:p>
    <w:p>
      <w:pPr>
        <w:pStyle w:val="Heading2"/>
      </w:pPr>
      <w:r>
        <w:t xml:space="preserve">How the Exemption Stack Works in RVC</w:t>
      </w:r>
    </w:p>
    <w:p>
      <w:pPr>
        <w:spacing w:after="100"/>
      </w:pPr>
      <w:r>
        <w:rPr>
          <w:b/>
          <w:bCs/>
        </w:rPr>
        <w:t xml:space="preserve">RPTL §467 (Senior Citizens Exemption): </w:t>
      </w:r>
      <w:r>
        <w:t xml:space="preserve">Locally adopted under state enabling law. RVC uses the maximum income threshold of $58,399 with the full Option 3 sliding scale, providing 5–50% assessed value reductions for seniors 65+ with incomes up to $66,799. The Village, Town of Hempstead, Nassau County, and the RVC School District have all independently adopted this exemption.</w:t>
      </w:r>
    </w:p>
    <w:p>
      <w:pPr>
        <w:spacing w:after="200"/>
      </w:pPr>
      <w:r>
        <w:rPr>
          <w:b/>
          <w:bCs/>
        </w:rPr>
        <w:t xml:space="preserve">Enhanced STAR (School Tax Relief): </w:t>
      </w:r>
      <w:r>
        <w:t xml:space="preserve">State-mandated program for seniors 65+ with AGI ≤ $110,750. In RVC, Enhanced STAR saves qualifying seniors $2,680 per year (vs. $1,220 for Basic STAR available to all homeowners). STAR applies only to the school district levy component (62% of total property tax).</w:t>
      </w:r>
    </w:p>
    <w:p>
      <w:pPr>
        <w:spacing w:after="200"/>
      </w:pPr>
      <w:r>
        <w:t xml:space="preserve">A senior homeowner at the median RVC home value ($735,000) pays $15,230 in total property tax, of which ~$9,443 is school tax. With Enhanced STAR ($2,680 savings) and maximum §467 (50% exemption on school AV, ~$2,200 savings), their effective school tax drops to ~$4,563—roughly 48% of what a non-senior homeowner pays. On the village, town, and county portions, the §467 exemption provides an additional ~$2,700 in savings. Total combined savings: ~$7,580/year at the median.</w:t>
      </w:r>
    </w:p>
    <w:p>
      <w:pPr>
        <w:pStyle w:val="Heading2"/>
      </w:pPr>
      <w:r>
        <w:t xml:space="preserve">The Lock-In Effect</w:t>
      </w:r>
    </w:p>
    <w:p>
      <w:pPr>
        <w:spacing w:after="200"/>
      </w:pPr>
      <w:r>
        <w:t xml:space="preserve">Federal Reserve Bank of Minneapolis research demonstrates that property tax exemptions create a powerful "lock-in" effect. Nationally, empty-nest baby boomers own 28% of large homes while millennials with children own just 14%. RVC seniors (median income $82,000) face additional lock-in from federal capital gains considerations and the loss of §467/STAR benefits upon moving. With the effective tax rate at 2.073%, a senior paying ~$7,650 in effective taxes (vs. $15,230 without exemptions) has a $7,580/year financial incentive to stay put.</w:t>
      </w:r>
    </w:p>
    <w:p>
      <w:pPr>
        <w:pStyle w:val="Heading2"/>
      </w:pPr>
      <w:r>
        <w:t xml:space="preserve">Fiscal Impact on RVC Schools</w:t>
      </w:r>
    </w:p>
    <w:p>
      <w:pPr>
        <w:spacing w:after="200"/>
      </w:pPr>
      <w:r>
        <w:t xml:space="preserve">The school district budget is ~$135 million, with a property tax levy of $109.24 million (approximately 62% of the average homeowner's property tax goes to the school district). Per MaryBeth Joyce’s analysis, the district’s financial position is precarious: unrestricted reserves at $8M are just 8% of expenditures (peer average: 14%), Garden City maintains $27M on a similar budget, and total revenue growth for 2026-27 may only reach 1% ($1.4M) while health insurance alone adds ~$2M. The fund balance appropriated for revenue is declining from $2.8M to ~$1.6M.</w:t>
      </w:r>
    </w:p>
    <w:p>
      <w:pPr>
        <w:spacing w:after="200"/>
      </w:pPr>
      <w:r>
        <w:t xml:space="preserve">With ~1,404 exempt senior parcels each generating ~$4,900 less than they would without exemptions (school tax only), the school district foregoes an estimated $6.9 million annually—nearly double the projected $3.78M deficit for 2026-27.</w:t>
      </w:r>
    </w:p>
    <w:p>
      <w:r>
        <w:br w:type="page"/>
      </w:r>
    </w:p>
    <w:p>
      <w:pPr>
        <w:pStyle w:val="Heading1"/>
      </w:pPr>
      <w:r>
        <w:t xml:space="preserve">Four-Level Advocacy Strategy</w:t>
      </w:r>
    </w:p>
    <w:p>
      <w:pPr>
        <w:spacing w:after="200"/>
      </w:pPr>
      <w:r>
        <w:t xml:space="preserve">The strategy operates simultaneously at federal, state, county, and local levels, with the principle of "make leaving easier, not staying harder."</w:t>
      </w:r>
    </w:p>
    <w:p>
      <w:pPr>
        <w:pStyle w:val="Heading2"/>
      </w:pPr>
      <w:r>
        <w:t xml:space="preserve">Level 1: Federal — Capital Gains &amp; Housing Mobility</w:t>
      </w:r>
    </w:p>
    <w:p>
      <w:pPr>
        <w:pStyle w:val="Heading3"/>
      </w:pPr>
      <w:r>
        <w:t xml:space="preserve">Goal: Remove the Capital Gains Lock-In for Senior Homeowners</w:t>
      </w:r>
    </w:p>
    <w:p>
      <w:pPr>
        <w:spacing w:after="200"/>
      </w:pPr>
      <w:r>
        <w:t xml:space="preserve">The AEI estimates ~1.9 million homes nationally are locked in by capital gains considerations. The stepped-up basis at death creates a perverse incentive to hold rather than sell. A targeted capital gains exclusion expansion for seniors (up to $500K single / $1M MFJ) would unlock significant housing stock. RVC’s median home value of $735,000 means many long-tenured seniors have gains exceeding the current $250K/$500K exclusion.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Official / Body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Rep. Laura Gillen (NY-4)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RVC’s U.S. House Rep; lives in RVC; former Hempstead Town Supervisor; SALT champion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PRIMARY FEDERAL POC. Gillen has made lowering costs for LI families a top priority and championed SALT restoration. Frame capital gains relief as a natural extension of her housing affordability platform. Request a bill or co-sponsorship of AEI-style proposal. Her dual credibility (fiscal hawk as Town Supervisor + housing advocate) makes her uniquely positioned.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Sen. Chuck Schumer (D-NY)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Senate Majority Leader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 as LI housing crisis + school funding solution. Align with existing SALT advocacy.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Sen. Kirsten Gillibrand (D-NY)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Senate; housing committee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Co-sponsor capital gains exclusion expansion for senior downsizers.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House Ways &amp; Means Committee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Tax legislation jurisdiction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Provide RVC financial model as case study for capital gains lock-in fiscal impact.</w:t>
            </w:r>
          </w:p>
        </w:tc>
      </w:tr>
    </w:tbl>
    <w:p>
      <w:pPr>
        <w:pStyle w:val="Heading2"/>
        <w:spacing w:before="300"/>
      </w:pPr>
      <w:r>
        <w:t xml:space="preserve">Level 2: New York State Legislature</w:t>
      </w:r>
    </w:p>
    <w:p>
      <w:pPr>
        <w:pStyle w:val="Heading3"/>
      </w:pPr>
      <w:r>
        <w:t xml:space="preserve">Goal: Property Tax Base Portability</w:t>
      </w:r>
    </w:p>
    <w:p>
      <w:pPr>
        <w:spacing w:after="200"/>
      </w:pPr>
      <w:r>
        <w:t xml:space="preserve">Lobby for a "Proposition 19-style" property tax base portability law for New York. California’s Prop 19 (2020) allows homeowners 55+ to transfer their property tax base to a new home anywhere in the state.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Official / Body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NYS Sen. Todd Kaminsky (SD-9)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RVC’s state senator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 bill introduction; frame as senior-friendly housing mobility + school funding fix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NYS Asm. Ed Ra (AD-19)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RVC’s assembly member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Co-sponsor; leverage bipartisan appeal (pro-senior + pro-school)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Senate Real Property Tax Committee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Jurisdiction over RPTL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Testimony with RVC financial model: $6.9M annual exemption gap on $109M levy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NYS Dept. of Taxation &amp; Finance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STAR administration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 data on Enhanced STAR recipients by school district</w:t>
            </w:r>
          </w:p>
        </w:tc>
      </w:tr>
    </w:tbl>
    <w:p>
      <w:pPr>
        <w:pStyle w:val="Heading3"/>
        <w:spacing w:before="200"/>
      </w:pPr>
      <w:r>
        <w:t xml:space="preserve">Additional State-Level Asks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STAR Credit Modernization: </w:t>
      </w:r>
      <w:r>
        <w:t xml:space="preserve">Convert remaining Enhanced STAR exemptions to credits. Credits are state-funded; exemptions reduce local levy. Each conversion shifts $2,680/parcel from local burden to state.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§467 Reform: </w:t>
      </w:r>
      <w:r>
        <w:t xml:space="preserve">Request state audit of §467 fiscal impact across Nassau County school districts. Propose indexed income thresholds and mandatory local fiscal impact reporting.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S5175A Conditional Support: </w:t>
      </w:r>
      <w:r>
        <w:t xml:space="preserve">The 2025 Senate bill increases max §467 exemption to 65%. Support CONDITIONALLY on including a portability provision.</w:t>
      </w:r>
    </w:p>
    <w:p>
      <w:pPr>
        <w:pStyle w:val="Heading2"/>
      </w:pPr>
      <w:r>
        <w:t xml:space="preserve">Level 3: Nassau County</w:t>
      </w:r>
    </w:p>
    <w:p>
      <w:pPr>
        <w:pStyle w:val="Heading3"/>
      </w:pPr>
      <w:r>
        <w:t xml:space="preserve">Goal: Assessment Transparency, Data, &amp; Multi-District Coalition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Official / Body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County Executive Bruce Blakeman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Executive authority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 as housing affordability + school quality initiative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Nassau County Legislature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Adopted county §467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 fiscal impact study of §467 across all 56 school districts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Dept. of Assessment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Administers exemptions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FOIL request: parcel-level §467 and STAR data by school district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Nassau BOCES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Inter-district coordination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Leverage BOCES data on 61% enrollment decline; convene superintendent working group</w:t>
            </w:r>
          </w:p>
        </w:tc>
      </w:tr>
    </w:tbl>
    <w:p>
      <w:pPr>
        <w:pStyle w:val="Heading3"/>
        <w:spacing w:before="200"/>
      </w:pPr>
      <w:r>
        <w:t xml:space="preserve">County-Level Action Items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FOIL for Data: </w:t>
      </w:r>
      <w:r>
        <w:t xml:space="preserve">File FOIL request with Nassau County Dept. of Assessment for: (a) count of §467 recipients by school district, (b) total exempted assessed value, (c) income tier distribution.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Senior Downsizing Program: </w:t>
      </w:r>
      <w:r>
        <w:t xml:space="preserve">Propose a county-funded "Silver to Gold" program offering moving expense grants ($5K–10K), priority senior housing placement, waived county transfer fees.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Multi-District Coalition: </w:t>
      </w:r>
      <w:r>
        <w:t xml:space="preserve">Form a coalition of Nassau school districts facing the same structural challenge. See Section 5 for detailed coalition analysis of all 56 districts.</w:t>
      </w:r>
    </w:p>
    <w:p>
      <w:pPr>
        <w:pStyle w:val="Heading2"/>
      </w:pPr>
      <w:r>
        <w:t xml:space="preserve">Level 4: Village of Rockville Centre &amp; RVC School District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RVC Village Board of Trustees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Adopted village §467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 fiscal impact review; consider reducing from Option 3 to Option 1 or 2 sliding scale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RVC Board of Education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Adopted school §467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Present financial model showing $6.9M annual exemption gap vs. $3.78M deficit; pass resolution supporting portability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RVC Chamber of Commerce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Business advocacy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Frame as economic vitality: families with children drive $15K+ in annual local retail spending</w:t>
            </w:r>
          </w:p>
        </w:tc>
      </w:tr>
    </w:tbl>
    <w:p>
      <w:pPr>
        <w:pStyle w:val="Heading3"/>
        <w:spacing w:before="200"/>
      </w:pPr>
      <w:r>
        <w:t xml:space="preserve">Local Action Items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§467 Sliding Scale Review: </w:t>
      </w:r>
      <w:r>
        <w:t xml:space="preserve">RVC uses Option 3 (full scale to 5%). Reducing to Option 2 eliminates the 5% tier ($65,900–66,799). Each tier reduction removes ~20–40 parcels from the exempt pool.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"Welcome Families" Marketing: </w:t>
      </w:r>
      <w:r>
        <w:t xml:space="preserve">Emphasize A-rated schools, declining class sizes, walkable village, LIRR access. Median home value ($735K) is competitive vs. Garden City and other top-tier districts.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Community Forum: </w:t>
      </w:r>
      <w:r>
        <w:t xml:space="preserve">Host "RVC’s Fiscal Future" using MaryBeth Joyce’s budget analysis and the financial model. Key message: reserves are half the peer average, revenue growth can’t keep pace with costs.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Senior Moving Assistance Pilot: </w:t>
      </w:r>
      <w:r>
        <w:t xml:space="preserve">Cost: $25K–50K/year. If 10 parcels transition, that’s $49,000 in recaptured school tax + $27,000 in village/county recapture = $76K total.</w:t>
      </w:r>
    </w:p>
    <w:p>
      <w:r>
        <w:br w:type="page"/>
      </w:r>
    </w:p>
    <w:p>
      <w:pPr>
        <w:pStyle w:val="Heading1"/>
      </w:pPr>
      <w:r>
        <w:t xml:space="preserve">Scenario Impact Summary (Updated Figures)</w:t>
      </w:r>
    </w:p>
    <w:p>
      <w:pPr>
        <w:spacing w:after="200"/>
      </w:pPr>
      <w:r>
        <w:t xml:space="preserve">Based on ~1,404 estimated senior exempt parcels, $4,900 avg school tax recapture per parcel, 2 children per replacement family, 70% K-12 age adjustment.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500"/>
        <w:gridCol w:w="1400"/>
        <w:gridCol w:w="1500"/>
        <w:gridCol w:w="1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10%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30%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40%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Parcels Transitioned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562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702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School Tax Revenue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$688K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$1.38M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$2.06M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$2.75M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$3.44M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K-12 Students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393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787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983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New Total Enrollment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3,456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3,653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3,850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4,047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4,243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All-Level Tax Recapture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$1.07M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$2.14M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$3.20M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$4.27M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$5.34M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Deficit Coverage ($3.78M)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54%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73%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91%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Transfer Tax (one-time)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$412K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$824K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$1.24M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$1.65M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$2.06M</w:t>
            </w:r>
          </w:p>
        </w:tc>
      </w:tr>
    </w:tbl>
    <w:p>
      <w:pPr>
        <w:spacing w:after="200" w:before="200"/>
      </w:pPr>
      <w:r>
        <w:rPr>
          <w:b/>
          <w:bCs/>
        </w:rPr>
        <w:t xml:space="preserve">Critical insight: </w:t>
      </w:r>
      <w:r>
        <w:t xml:space="preserve">The district has lost ~288 students over the past decade, meaning it has ~288 seats of spare capacity. Up to ~20% replacement (~393 new students), most students can be absorbed at near-zero marginal cost, making the revenue gain nearly pure upside. Beyond 20%, capacity investments may be needed, but Riverside Elementary already has significant underutilization (costing $15,000 more per student than other schools due to low enrollment).</w:t>
      </w:r>
    </w:p>
    <w:p>
      <w:r>
        <w:br w:type="page"/>
      </w:r>
    </w:p>
    <w:p>
      <w:pPr>
        <w:pStyle w:val="Heading1"/>
      </w:pPr>
      <w:r>
        <w:t xml:space="preserve">Top 5 Coalition Partner Profiles</w:t>
      </w:r>
    </w:p>
    <w:p>
      <w:pPr>
        <w:spacing w:after="200"/>
      </w:pPr>
      <w:r>
        <w:t xml:space="preserve">Selected based on: enrollment decline severity, proximity/similarity to RVC, fiscal pressure indicators, and aging community demographics.</w:t>
      </w:r>
    </w:p>
    <w:p>
      <w:pPr>
        <w:pStyle w:val="Heading2"/>
      </w:pPr>
      <w:r>
        <w:t xml:space="preserve">1. Hewlett-Woodmere UFSD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Enrollment decline documented: </w:t>
      </w:r>
      <w:r>
        <w:t xml:space="preserve">11 teaching positions cut for 2025-26; elementary enrollment projected to drop ~200 students vs. 2022-23. (Source: LI Herald, 2025)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Fiscal pressure: </w:t>
      </w:r>
      <w:r>
        <w:t xml:space="preserve">Board actively discussing budget deficits driven by enrollment-revenue mismatch.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Geographic alignment: </w:t>
      </w:r>
      <w:r>
        <w:t xml:space="preserve">Five Towns area, directly adjacent to RVC. Similar housing stock ($600K–$1.2M). 3,100+ students.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Coalition value: </w:t>
      </w:r>
      <w:r>
        <w:t xml:space="preserve">Documented staffing cuts tied to enrollment decline make it the most compelling "case study" partner.</w:t>
      </w:r>
    </w:p>
    <w:p>
      <w:pPr>
        <w:pStyle w:val="Heading2"/>
      </w:pPr>
      <w:r>
        <w:t xml:space="preserve">2. Locust Valley CSD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Severe enrollment decline: </w:t>
      </w:r>
      <w:r>
        <w:t xml:space="preserve">From 2,034 (2018-19) to ~1,818 (2024-25), projected 1,725 by 2027-28. Superintendent: "This is a big deal." (Source: LI Herald, 2025)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Housing affordability barrier: </w:t>
      </w:r>
      <w:r>
        <w:t xml:space="preserve">Only five homes under $1M listed in the district. High taxes + rates deter young families.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North Shore diversity: </w:t>
      </w:r>
      <w:r>
        <w:t xml:space="preserve">Gold Coast area ($800K–$2M+). 1,811 students. Demonstrates issue is not limited to South Shore.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Coalition value: </w:t>
      </w:r>
      <w:r>
        <w:t xml:space="preserve">Superintendent already leading the conversation publicly. Adds geographic diversity to coalition.</w:t>
      </w:r>
    </w:p>
    <w:p>
      <w:pPr>
        <w:pStyle w:val="Heading2"/>
      </w:pPr>
      <w:r>
        <w:t xml:space="preserve">3. Levittown UFSD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School closures: </w:t>
      </w:r>
      <w:r>
        <w:t xml:space="preserve">TWO schools closed (Pintail Lane, Cherrywood Elementary) due to declining population. Most tangible evidence in Nassau.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Archetypal aging suburb: </w:t>
      </w:r>
      <w:r>
        <w:t xml:space="preserve">Prototypical postwar LI subdivision. Original homeowners 80+ or their estates. 7,177 students, $233.8M revenue.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Moderate home values: </w:t>
      </w:r>
      <w:r>
        <w:t xml:space="preserve">$500K–$700K makes it a realistic landing spot for young families. Senior exemptions create proportionally higher fiscal drag.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Coalition value: </w:t>
      </w:r>
      <w:r>
        <w:t xml:space="preserve">School closures are undeniable evidence. District’s $233M budget adds political weight. Middle-class constituency resonates with legislators.</w:t>
      </w:r>
    </w:p>
    <w:p>
      <w:pPr>
        <w:pStyle w:val="Heading2"/>
      </w:pPr>
      <w:r>
        <w:t xml:space="preserve">4. Long Beach City School District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Active school closure debate: </w:t>
      </w:r>
      <w:r>
        <w:t xml:space="preserve">Year-long debate over closing East Elementary. Parents publicly challenging district. (Source: News 12, 2025)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Barrier island constraint: </w:t>
      </w:r>
      <w:r>
        <w:t xml:space="preserve">Limited, fixed housing stock. ~2,800 students. Every parcel matters.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Post-Sandy dynamics: </w:t>
      </w:r>
      <w:r>
        <w:t xml:space="preserve">Seniors who stayed sit on appreciated properties. Independent city government = independent political voice.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Coalition value: </w:t>
      </w:r>
      <w:r>
        <w:t xml:space="preserve">Current controversy provides immediate political relevance. Barrier island geography makes fixed-stock argument visceral.</w:t>
      </w:r>
    </w:p>
    <w:p>
      <w:pPr>
        <w:pStyle w:val="Heading2"/>
      </w:pPr>
      <w:r>
        <w:t xml:space="preserve">5. Oyster Bay-East Norwich CSD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15% enrollment decline: </w:t>
      </w:r>
      <w:r>
        <w:t xml:space="preserve">From 1,585 (2015) to 1,347 (2025). One of steepest % declines in Nassau County. (Source: LI Herald, 2025)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Superintendent engaged: </w:t>
      </w:r>
      <w:r>
        <w:t xml:space="preserve">Superintendent Ianni credits universal Pre-K for recent stabilization—shows creative thinking about attracting families.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Town of Oyster Bay: </w:t>
      </w:r>
      <w:r>
        <w:t xml:space="preserve">Independently adopted §467. Adds another taxing jurisdiction to the conversation.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Coalition value: </w:t>
      </w:r>
      <w:r>
        <w:t xml:space="preserve">15% decline is a stark data point. Pre-K success shows district already trying to attract younger families.</w:t>
      </w:r>
    </w:p>
    <w:p>
      <w:r>
        <w:br w:type="page"/>
      </w:r>
    </w:p>
    <w:p>
      <w:pPr>
        <w:pStyle w:val="Heading1"/>
      </w:pPr>
      <w:r>
        <w:t xml:space="preserve">Complete Nassau County School District Coalition Assessment</w:t>
      </w:r>
    </w:p>
    <w:p>
      <w:pPr>
        <w:spacing w:after="100"/>
      </w:pPr>
      <w:r>
        <w:t xml:space="preserve">All 56 Nassau County school districts rated by coalition likelihood.</w:t>
      </w:r>
    </w:p>
    <w:p>
      <w:pPr>
        <w:spacing w:after="200"/>
      </w:pPr>
      <w:r>
        <w:rPr>
          <w:b/>
          <w:bCs/>
        </w:rPr>
        <w:t xml:space="preserve">Legend: </w:t>
      </w:r>
      <w:r>
        <w:rPr>
          <w:b/>
          <w:bCs/>
          <w:color w:val="006100"/>
        </w:rPr>
        <w:t xml:space="preserve">HIGH </w:t>
      </w:r>
      <w:r>
        <w:t xml:space="preserve">= Strong alignment, documented fiscal pressure. </w:t>
      </w:r>
      <w:r>
        <w:rPr>
          <w:b/>
          <w:bCs/>
          <w:color w:val="9C6500"/>
        </w:rPr>
        <w:t xml:space="preserve">MEDIUM </w:t>
      </w:r>
      <w:r>
        <w:t xml:space="preserve">= Some alignment, needs persuasion. </w:t>
      </w:r>
      <w:r>
        <w:rPr>
          <w:b/>
          <w:bCs/>
          <w:color w:val="9C2700"/>
        </w:rPr>
        <w:t xml:space="preserve">LOW </w:t>
      </w:r>
      <w:r>
        <w:t xml:space="preserve">= Limited alignment or different dynamics.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1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School District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Est. K-12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Rockville Centre (lead)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3,260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LEAD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Initiating district. $3.78M deficit, ~288-student decline, ~$6.9M annual exemption gap. $8M reserves (8%) vs. peer 14%.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Hewlett-Woodmere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 positions cut; enrollment declining ~200; Five Towns adjacent to RVC.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Locust Valley CSD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1,811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11% enrollment drop; superintendent publicly vocal; North Shore diversity.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Levittown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7,177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TWO schools closed. $233M budget. Archetypal aging suburb.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Long Beach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~2,800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Active school closure debate. Barrier island. Independent city.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Oyster Bay-East Norwich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1,347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15% decline in decade. Superintendent engaged. ToOB §467 jurisdiction.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Lynbrook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2,752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Adjacent to RVC. $110M budget. Similar demographics.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East Rockaway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~1,100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 South Shore district. Low enrollment = high per-parcel impact.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Island Park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Tiny district; demographic shifts are existential.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Baldwin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~5,500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MED-HIGH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$172.8M budget at tax cap. Large South Shore.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Garden City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3,964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MED-HIGH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$122.7M budget. Affluent aging community. High home values = large exemption $ amounts.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Massapequa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6,478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MED-HIGH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$243M budget. 17.1% pop 65+. 31.6% are 45-64 (future senior wave).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Oceanside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~5,000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MED-HIGH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 South Shore adjacent to RVC. Similar housing/demographics.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Bellmore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~2,400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MED-HIGH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South Shore elementary. Aging community. Feeder to Bellmore-Merrick.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North Bellmore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~2,200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MED-HIGH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Elementary. Similar aging dynamics.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Merrick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MED-HIGH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Elementary. South Shore aging community.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North Merrick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~1,800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MED-HIGH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Elementary. Part of Bellmore-Merrick system.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Bellmore-Merrick CHS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~3,800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MED-HIGH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HS district absorbing declining feeder enrollment.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Wantagh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~3,200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MED-HIGH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South Shore postwar housing. Similar to Levittown.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Seaford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MED-HIGH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Adjacent to Wantagh/Levittown corridor.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Plainedge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~2,800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6100"/>
                <w:sz w:val="18"/>
                <w:szCs w:val="18"/>
              </w:rPr>
              <w:t xml:space="preserve">MED-HIGH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Central Nassau postwar housing. Parallel aging.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Mineola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~2,800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Central Nassau. Some pressure but more mixed-age.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Floral Park-Bellerose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1,626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 K-6. Queens border attracts some younger families.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New Hyde Park-GCP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~2,100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Western Nassau. Immigrant influx offsets some senior departures.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East Williston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~1,800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Affluent North Shore. Higher senior incomes = smaller §467 gap.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Manhasset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~3,000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Very affluent. $35.1K/pupil. Exemptions matter less as % of levy.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Herricks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~3,800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Central Nassau. Strong schools attract families. More stable.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Carle Place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~1,600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Small. Transit-oriented. Some variability.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Plainview-Old Bethpage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~4,800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Central/eastern. Some aging, some turnover.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Bethpage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~3,000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Grumman legacy community. Moderate pressure.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Hicksville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~5,500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Large, diverse. Immigrant influx partially offsets seniors.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Farmingdale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~5,800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Eastern Nassau. Growing in some areas.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East Meadow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~6,500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 central. Mixed demographics. More stable.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Island Trees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~3,000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Central Nassau (Levittown area). Similar aging dynamics.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Malverne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1,873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$73M budget at max cap (2.44%). Diverse community.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West Hempstead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~2,200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Some aging. Queens outmigration provides family turnover.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Valley Stream 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Elementary. Queens border sees younger migration.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Valley Stream 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Elementary. Similar to VS-13.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Valley Stream 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~1,800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Elementary. Some aging population.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North Shore CSD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~2,510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6500"/>
                <w:sz w:val="18"/>
                <w:szCs w:val="18"/>
              </w:rPr>
              <w:t xml:space="preserve">MEDIUM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Enrollment stable ~2,500. Demographics shifting but not declining.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Port Washington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~4,500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00"/>
                <w:sz w:val="18"/>
                <w:szCs w:val="18"/>
              </w:rPr>
              <w:t xml:space="preserve">LOW-MED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Affluent North Shore. $36.2K/pupil. Less urgency.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Roslyn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~3,200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00"/>
                <w:sz w:val="18"/>
                <w:szCs w:val="18"/>
              </w:rPr>
              <w:t xml:space="preserve">LOW-MED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Affluent. Strong reputation attracts families.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Great Neck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~6,600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00"/>
                <w:sz w:val="18"/>
                <w:szCs w:val="18"/>
              </w:rPr>
              <w:t xml:space="preserve">LOW-MED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Very affluent. Asian-American community drives enrollment.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Jericho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~3,200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00"/>
                <w:sz w:val="18"/>
                <w:szCs w:val="18"/>
              </w:rPr>
              <w:t xml:space="preserve">LOW-MED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Eastern. $40.9K/pupil (highest in county). Strong family draw.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Syosset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~6,200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00"/>
                <w:sz w:val="18"/>
                <w:szCs w:val="18"/>
              </w:rPr>
              <w:t xml:space="preserve">LOW-MED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Large, affluent. Growing segments.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Glen Cove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~2,800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00"/>
                <w:sz w:val="18"/>
                <w:szCs w:val="18"/>
              </w:rPr>
              <w:t xml:space="preserve">LOW-MED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Independent city. Mixed-income. Competing priorities.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Franklin Square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~2,100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00"/>
                <w:sz w:val="18"/>
                <w:szCs w:val="18"/>
              </w:rPr>
              <w:t xml:space="preserve">LOW-MED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Elementary. Western Nassau. More urban.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Elmont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~3,800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00"/>
                <w:sz w:val="18"/>
                <w:szCs w:val="18"/>
              </w:rPr>
              <w:t xml:space="preserve">LOW-MED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Queens border. Diverse, younger. Growing in some areas.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Lawrence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~2,800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00"/>
                <w:sz w:val="18"/>
                <w:szCs w:val="18"/>
              </w:rPr>
              <w:t xml:space="preserve">LOW-MED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Five Towns. Mixed income. Complex fiscal picture.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Freeport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~6,500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C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00"/>
                <w:sz w:val="18"/>
                <w:szCs w:val="18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67% Hispanic. State aid driven, not exemption driven.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Hempstead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~7,000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C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00"/>
                <w:sz w:val="18"/>
                <w:szCs w:val="18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79% Hispanic. Severe poverty. Different fiscal structure.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Roosevelt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~2,884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C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00"/>
                <w:sz w:val="18"/>
                <w:szCs w:val="18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73% economically disadvantaged. State aid dependent.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Uniondale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~6,210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C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00"/>
                <w:sz w:val="18"/>
                <w:szCs w:val="18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65% Hispanic, 32% Black. $34K/pupil. State aid dependent.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Westbury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~4,500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CE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2700"/>
                <w:sz w:val="18"/>
                <w:szCs w:val="18"/>
              </w:rPr>
              <w:t xml:space="preserve">LOW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Diverse, lower-income. §467 less of a fiscal driver.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Implementation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3000"/>
        <w:gridCol w:w="2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Timeframe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Q2 2026 (Now–June)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FOIL requests; distribute MaryBeth’s budget analysis + financial model; initial meetings with Rep. Gillen, Sen. Kaminsky, Asm. Ra; outreach to top 5 coalition partners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foundation; political awareness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Q3–Q4 2026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Community forum; school board resolution; county coalition via BOCES; Gillen introduces federal bill; state bill drafting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Public mandate; legislative drafts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2027 Session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State bill intro; committee testimony; media campaign; §467 threshold review; federal bill hearing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Legislation advancing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2027–2028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Portability implementation; Senior Moving Assistance pilot; "Welcome Families" marketing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measurable transitions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2028–2030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Monitor turnover; adjust programs; scale county-wide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10–20% replacement target</w:t>
            </w:r>
          </w:p>
        </w:tc>
      </w:tr>
    </w:tbl>
    <w:p>
      <w:pPr>
        <w:pStyle w:val="Heading1"/>
      </w:pPr>
      <w:r>
        <w:t xml:space="preserve">Key Messaging Framework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82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82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482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Avoid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Seniors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"We want to help you move on YOUR terms—without a tax penalty. You’ve earned the right to downsize comfortably."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language implying seniors are a burden. Never frame as "taking away" benefits.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Young Families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"RVC spends $42K/student with scores 55% above state average in math. More families = sustainable funding for those schools."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Pitting generations against each other.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Rep. Gillen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"This is the housing affordability + SALT fix for LI. Capital gains relief unlocks homes AND generates transfer tax revenue for NY."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Don't position as anti-senior. Extends her existing platform.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State Legislators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"61% of Nassau districts face enrollment decline. RVC reserves are half the peer average. Portability is a win-win-win."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Making it partisan. Bipartisan appeal essential.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Media / Public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"Nassau County’s 65+ households grew to 38.9% while families with kids dropped. RVC’s $6.9M exemption gap nearly doubles the deficit."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Specific dollar amounts for individual seniors.</w:t>
            </w:r>
          </w:p>
        </w:tc>
      </w:tr>
    </w:tbl>
    <w:p>
      <w:pPr>
        <w:pStyle w:val="Heading1"/>
      </w:pPr>
      <w:r>
        <w:t xml:space="preserve">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Senior voter backlash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Carrots-only; never reduce current benefits; lead with portability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Federal/state inaction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Multi-district coalition; Gillen’s SALT momentum; Governor’s housing agenda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Per-pupil dilution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288-seat spare capacity; Riverside Elementary underutilized; marginal cost near $0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Insufficient downsizer housing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ADU policy; county housing office; senior community connections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Coalition fracturing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Keep asks simple (portability + data); avoid district-specific §467 debates in coalition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Appendix: Legal References &amp; Data Sources</w:t>
      </w:r>
    </w:p>
    <w:p>
      <w:pPr>
        <w:pStyle w:val="Heading2"/>
      </w:pPr>
      <w:r>
        <w:t xml:space="preserve">Governing Statutes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RPTL §467: </w:t>
      </w:r>
      <w:r>
        <w:t xml:space="preserve">Senior Citizens Exemption. State enabling, locally adopted. 5–50% AV reduction.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RPTL §425: </w:t>
      </w:r>
      <w:r>
        <w:t xml:space="preserve">STAR Program. Enhanced STAR: 65+ / income ≤$110,750. State-mandated.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NYS Senate Bill S5175A (2025): </w:t>
      </w:r>
      <w:r>
        <w:t xml:space="preserve">Increases max §467 exemption to 65%.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California Proposition 19 (2020): </w:t>
      </w:r>
      <w:r>
        <w:t xml:space="preserve">Model legislation for property tax base portability.</w:t>
      </w:r>
    </w:p>
    <w:p>
      <w:pPr>
        <w:pStyle w:val="Heading2"/>
      </w:pPr>
      <w:r>
        <w:t xml:space="preserve">Data Sources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MaryBeth Joyce — </w:t>
      </w:r>
      <w:r>
        <w:t xml:space="preserve">"Understanding the 2026/2027 Budget" (marybethjoyce1.substack.com) — Primary source for budget outlook, reserve analysis, and cost projections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RVC Tax &amp; Outcomes Calculator — </w:t>
      </w:r>
      <w:r>
        <w:t xml:space="preserve">Interactive model incorporating MaryBeth’s data: eff. rate 2.073%, STAR ($1,220/$2,680), median home $735K</w:t>
      </w:r>
    </w:p>
    <w:p>
      <w:pPr>
        <w:pStyle w:val="ListParagraph"/>
        <w:numPr>
          <w:ilvl w:val="0"/>
          <w:numId w:val="5"/>
        </w:numPr>
      </w:pPr>
      <w:r>
        <w:t xml:space="preserve">U.S. Census Bureau QuickFacts &amp; American Community Survey – RVC demographics (2024)</w:t>
      </w:r>
    </w:p>
    <w:p>
      <w:pPr>
        <w:pStyle w:val="ListParagraph"/>
        <w:numPr>
          <w:ilvl w:val="0"/>
          <w:numId w:val="5"/>
        </w:numPr>
      </w:pPr>
      <w:r>
        <w:t xml:space="preserve">NYS Dept. of Taxation &amp; Finance – STAR exemption amounts, Nassau County (2025-26)</w:t>
      </w:r>
    </w:p>
    <w:p>
      <w:pPr>
        <w:pStyle w:val="ListParagraph"/>
        <w:numPr>
          <w:ilvl w:val="0"/>
          <w:numId w:val="5"/>
        </w:numPr>
      </w:pPr>
      <w:r>
        <w:t xml:space="preserve">LI Herald – RVC school district budget reporting; North Shore enrollment articles (2025-26)</w:t>
      </w:r>
    </w:p>
    <w:p>
      <w:pPr>
        <w:pStyle w:val="ListParagraph"/>
        <w:numPr>
          <w:ilvl w:val="0"/>
          <w:numId w:val="5"/>
        </w:numPr>
      </w:pPr>
      <w:r>
        <w:t xml:space="preserve">Nassau BOCES – 61% of Nassau districts experienced enrollment decline</w:t>
      </w:r>
    </w:p>
    <w:p>
      <w:pPr>
        <w:pStyle w:val="ListParagraph"/>
        <w:numPr>
          <w:ilvl w:val="0"/>
          <w:numId w:val="5"/>
        </w:numPr>
      </w:pPr>
      <w:r>
        <w:t xml:space="preserve">Federal Reserve Bank of Minneapolis – "How Higher Property Taxes Increase Home Affordability" (2024)</w:t>
      </w:r>
    </w:p>
    <w:p>
      <w:pPr>
        <w:pStyle w:val="ListParagraph"/>
        <w:numPr>
          <w:ilvl w:val="0"/>
          <w:numId w:val="5"/>
        </w:numPr>
      </w:pPr>
      <w:r>
        <w:t xml:space="preserve">Georgia State University CSLF – "Tax Relief for the Elderly, But at What Cost?"</w:t>
      </w:r>
    </w:p>
    <w:p>
      <w:pPr>
        <w:pStyle w:val="ListParagraph"/>
        <w:numPr>
          <w:ilvl w:val="0"/>
          <w:numId w:val="5"/>
        </w:numPr>
      </w:pPr>
      <w:r>
        <w:t xml:space="preserve">American Enterprise Institute – Capital Gains Rules and Senior Homeowner Lock-In (2025)</w:t>
      </w:r>
    </w:p>
    <w:p>
      <w:pPr>
        <w:pStyle w:val="ListParagraph"/>
        <w:numPr>
          <w:ilvl w:val="0"/>
          <w:numId w:val="5"/>
        </w:numPr>
      </w:pPr>
      <w:r>
        <w:t xml:space="preserve">Rep. Laura Gillen – gillen.house.gov – Housing affordability &amp; SALT platform</w:t>
      </w:r>
    </w:p>
    <w:p>
      <w:pPr>
        <w:pBdr>
          <w:top w:val="single" w:color="2E75B6" w:sz="6" w:space="1"/>
        </w:pBdr>
        <w:spacing w:before="400"/>
      </w:pPr>
      <w:r>
        <w:rPr>
          <w:b/>
          <w:bCs/>
          <w:i/>
          <w:iCs/>
          <w:color w:val="666666"/>
          <w:sz w:val="20"/>
          <w:szCs w:val="20"/>
        </w:rPr>
        <w:t xml:space="preserve">Companion Documents: </w:t>
      </w:r>
      <w:r>
        <w:rPr>
          <w:i/>
          <w:iCs/>
          <w:color w:val="666666"/>
          <w:sz w:val="20"/>
          <w:szCs w:val="20"/>
        </w:rPr>
        <w:t xml:space="preserve">RVC_Senior_Transition_Financial_Model.xlsx (scenario analysis) | RVC_Tax_Calculator.html (interactive tool)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RVC Housing Transition Advocacy Plan</w:t>
    </w: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	March 2026 —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54823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2026-03-27T05:00:42.769Z</dcterms:created>
  <dcterms:modified xsi:type="dcterms:W3CDTF">2026-03-27T05:00:42.770Z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