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F9D2A" w14:textId="0690508C" w:rsidR="00A4598E" w:rsidRPr="00A4598E" w:rsidRDefault="00A4598E" w:rsidP="00A4598E">
      <w:pPr>
        <w:pStyle w:val="whitespace-normal"/>
        <w:jc w:val="center"/>
        <w:rPr>
          <w:rStyle w:val="Strong"/>
          <w:rFonts w:eastAsiaTheme="majorEastAsia"/>
        </w:rPr>
      </w:pPr>
      <w:r w:rsidRPr="00A4598E">
        <w:rPr>
          <w:rStyle w:val="Strong"/>
          <w:rFonts w:eastAsiaTheme="majorEastAsia"/>
          <w:sz w:val="32"/>
          <w:szCs w:val="32"/>
        </w:rPr>
        <w:t>Confidential Candidate, MD, MBA</w:t>
      </w:r>
      <w:r w:rsidRPr="00A4598E">
        <w:rPr>
          <w:rStyle w:val="Strong"/>
          <w:rFonts w:eastAsiaTheme="majorEastAsia"/>
        </w:rPr>
        <w:br/>
      </w:r>
    </w:p>
    <w:p w14:paraId="2B1D415B" w14:textId="77777777" w:rsidR="00A4598E" w:rsidRDefault="00A4598E" w:rsidP="00A4598E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PROFESSIONAL SUMMARY</w:t>
      </w:r>
    </w:p>
    <w:p w14:paraId="1C610585" w14:textId="77777777" w:rsidR="00A4598E" w:rsidRDefault="00A4598E" w:rsidP="00A4598E">
      <w:pPr>
        <w:pStyle w:val="whitespace-normal"/>
        <w:numPr>
          <w:ilvl w:val="0"/>
          <w:numId w:val="1"/>
        </w:numPr>
      </w:pPr>
      <w:r>
        <w:t>Accomplished rare disease clinical development executive with 12+ years driving orphan drug programs from proof-of-concept through commercial launch</w:t>
      </w:r>
    </w:p>
    <w:p w14:paraId="511D8167" w14:textId="77777777" w:rsidR="00A4598E" w:rsidRDefault="00A4598E" w:rsidP="00A4598E">
      <w:pPr>
        <w:pStyle w:val="whitespace-normal"/>
        <w:numPr>
          <w:ilvl w:val="0"/>
          <w:numId w:val="1"/>
        </w:numPr>
      </w:pPr>
      <w:r>
        <w:t>Strategic leader combining MD clinical expertise with MBA business acumen to deliver results in resource-constrained biotech environments</w:t>
      </w:r>
    </w:p>
    <w:p w14:paraId="73FA2E32" w14:textId="77777777" w:rsidR="00A4598E" w:rsidRDefault="00A4598E" w:rsidP="00A4598E">
      <w:pPr>
        <w:pStyle w:val="whitespace-normal"/>
        <w:numPr>
          <w:ilvl w:val="0"/>
          <w:numId w:val="1"/>
        </w:numPr>
      </w:pPr>
      <w:r>
        <w:t>Demonstrated success with 3 NDA/BLA submissions in rare metabolic and neurological disorders, including 2 first-in-class therapies achieving FDA approval</w:t>
      </w:r>
    </w:p>
    <w:p w14:paraId="5FCB35F0" w14:textId="77777777" w:rsidR="00A4598E" w:rsidRDefault="00A4598E" w:rsidP="00A4598E">
      <w:pPr>
        <w:pStyle w:val="whitespace-normal"/>
        <w:numPr>
          <w:ilvl w:val="0"/>
          <w:numId w:val="1"/>
        </w:numPr>
      </w:pPr>
      <w:r>
        <w:t>Known for calm, methodical leadership style and ability to build consensus across R&amp;D, regulatory, commercial, and external stakeholders</w:t>
      </w:r>
    </w:p>
    <w:p w14:paraId="11E1291C" w14:textId="77777777" w:rsidR="00A4598E" w:rsidRDefault="00A4598E" w:rsidP="00A4598E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PROFESSIONAL EXPERIENCE</w:t>
      </w:r>
    </w:p>
    <w:p w14:paraId="05F2C063" w14:textId="77777777" w:rsidR="00A4598E" w:rsidRDefault="00A4598E" w:rsidP="00A4598E">
      <w:pPr>
        <w:pStyle w:val="whitespace-normal"/>
      </w:pPr>
      <w:r>
        <w:rPr>
          <w:rStyle w:val="Strong"/>
          <w:rFonts w:eastAsiaTheme="majorEastAsia"/>
        </w:rPr>
        <w:t>Confidential Pharma Global - Rare Disease Unit</w:t>
      </w:r>
      <w:r>
        <w:t xml:space="preserve"> | April 2018 - Present</w:t>
      </w:r>
      <w:r>
        <w:br/>
      </w:r>
      <w:r>
        <w:rPr>
          <w:rStyle w:val="Strong"/>
          <w:rFonts w:eastAsiaTheme="majorEastAsia"/>
        </w:rPr>
        <w:t>Executive Director, Clinical Development</w:t>
      </w:r>
      <w:r>
        <w:t xml:space="preserve"> | Jan 2021 - Present</w:t>
      </w:r>
    </w:p>
    <w:p w14:paraId="4CCB45B2" w14:textId="77777777" w:rsidR="00A4598E" w:rsidRDefault="00A4598E" w:rsidP="00A4598E">
      <w:pPr>
        <w:pStyle w:val="whitespace-normal"/>
        <w:numPr>
          <w:ilvl w:val="0"/>
          <w:numId w:val="2"/>
        </w:numPr>
      </w:pPr>
      <w:r>
        <w:t>Oversee clinical development strategy for $850M rare disease portfolio spanning lysosomal storage disorders, rare neurological conditions, and inherited metabolic diseases</w:t>
      </w:r>
    </w:p>
    <w:p w14:paraId="2D3D8C31" w14:textId="77777777" w:rsidR="00A4598E" w:rsidRDefault="00A4598E" w:rsidP="00A4598E">
      <w:pPr>
        <w:pStyle w:val="whitespace-normal"/>
        <w:numPr>
          <w:ilvl w:val="0"/>
          <w:numId w:val="2"/>
        </w:numPr>
      </w:pPr>
      <w:r>
        <w:t>Lead team of 18 clinical scientists, medical directors, and clinical operations professionals supporting 12 active programs</w:t>
      </w:r>
    </w:p>
    <w:p w14:paraId="2D37F511" w14:textId="77777777" w:rsidR="00A4598E" w:rsidRDefault="00A4598E" w:rsidP="00A4598E">
      <w:pPr>
        <w:pStyle w:val="whitespace-normal"/>
        <w:numPr>
          <w:ilvl w:val="0"/>
          <w:numId w:val="2"/>
        </w:numPr>
      </w:pPr>
      <w:r>
        <w:t>Architected and executed regulatory strategy resulting in 3 successful NDA/BLA submissions (2019, 2022, 2024), including 2 Breakthrough Therapy designations</w:t>
      </w:r>
    </w:p>
    <w:p w14:paraId="56C148AB" w14:textId="77777777" w:rsidR="00A4598E" w:rsidRDefault="00A4598E" w:rsidP="00A4598E">
      <w:pPr>
        <w:pStyle w:val="whitespace-normal"/>
        <w:numPr>
          <w:ilvl w:val="0"/>
          <w:numId w:val="2"/>
        </w:numPr>
      </w:pPr>
      <w:r>
        <w:t>Established strategic KOL advisory boards across 8 rare disease therapeutic areas, enhancing scientific credibility and accelerating enrollment</w:t>
      </w:r>
    </w:p>
    <w:p w14:paraId="500DAA80" w14:textId="77777777" w:rsidR="00A4598E" w:rsidRDefault="00A4598E" w:rsidP="00A4598E">
      <w:pPr>
        <w:pStyle w:val="whitespace-normal"/>
        <w:numPr>
          <w:ilvl w:val="0"/>
          <w:numId w:val="2"/>
        </w:numPr>
      </w:pPr>
      <w:r>
        <w:t>Reduced average clinical development timeline by 6 months through implementation of master protocol framework and adaptive trial designs</w:t>
      </w:r>
    </w:p>
    <w:p w14:paraId="3752DD4C" w14:textId="77777777" w:rsidR="00A4598E" w:rsidRDefault="00A4598E" w:rsidP="00A4598E">
      <w:pPr>
        <w:pStyle w:val="whitespace-normal"/>
        <w:numPr>
          <w:ilvl w:val="0"/>
          <w:numId w:val="2"/>
        </w:numPr>
      </w:pPr>
      <w:r>
        <w:t>Manage annual clinical budget of $85M with consistent delivery within 3% of forecast</w:t>
      </w:r>
    </w:p>
    <w:p w14:paraId="01007C90" w14:textId="77777777" w:rsidR="00A4598E" w:rsidRDefault="00A4598E" w:rsidP="00A4598E">
      <w:pPr>
        <w:pStyle w:val="whitespace-normal"/>
        <w:numPr>
          <w:ilvl w:val="0"/>
          <w:numId w:val="2"/>
        </w:numPr>
      </w:pPr>
      <w:r>
        <w:t>Built robust risk mitigation strategies for rare disease trials, achieving 92% on-time milestone delivery despite pandemic disruptions</w:t>
      </w:r>
    </w:p>
    <w:p w14:paraId="0AB74C86" w14:textId="77777777" w:rsidR="00A4598E" w:rsidRDefault="00A4598E" w:rsidP="00A4598E">
      <w:pPr>
        <w:pStyle w:val="whitespace-normal"/>
      </w:pPr>
      <w:r>
        <w:rPr>
          <w:rStyle w:val="Strong"/>
          <w:rFonts w:eastAsiaTheme="majorEastAsia"/>
        </w:rPr>
        <w:t>Senior Director, Clinical Research</w:t>
      </w:r>
      <w:r>
        <w:t xml:space="preserve"> | April 2018 - Dec 2020</w:t>
      </w:r>
    </w:p>
    <w:p w14:paraId="34FF6A9A" w14:textId="77777777" w:rsidR="00A4598E" w:rsidRDefault="00A4598E" w:rsidP="00A4598E">
      <w:pPr>
        <w:pStyle w:val="whitespace-normal"/>
        <w:numPr>
          <w:ilvl w:val="0"/>
          <w:numId w:val="3"/>
        </w:numPr>
      </w:pPr>
      <w:r>
        <w:t>Led Phase 2/3 development for enzyme replacement therapy in Pompe disease, achieving primary endpoint and expedited FDA review</w:t>
      </w:r>
    </w:p>
    <w:p w14:paraId="45A96495" w14:textId="77777777" w:rsidR="00A4598E" w:rsidRDefault="00A4598E" w:rsidP="00A4598E">
      <w:pPr>
        <w:pStyle w:val="whitespace-normal"/>
        <w:numPr>
          <w:ilvl w:val="0"/>
          <w:numId w:val="3"/>
        </w:numPr>
      </w:pPr>
      <w:r>
        <w:t>Designed innovative natural history protocol leveraging real-world evidence, reducing placebo arm size by 40% and accelerating recruitment</w:t>
      </w:r>
    </w:p>
    <w:p w14:paraId="0E848707" w14:textId="77777777" w:rsidR="00A4598E" w:rsidRDefault="00A4598E" w:rsidP="00A4598E">
      <w:pPr>
        <w:pStyle w:val="whitespace-normal"/>
        <w:numPr>
          <w:ilvl w:val="0"/>
          <w:numId w:val="3"/>
        </w:numPr>
      </w:pPr>
      <w:r>
        <w:t>Partnered with regulatory affairs on 4 successful FDA meetings, securing alignment on surrogate endpoints and pediatric investigation plans</w:t>
      </w:r>
    </w:p>
    <w:p w14:paraId="0D3CE014" w14:textId="77777777" w:rsidR="00A4598E" w:rsidRDefault="00A4598E" w:rsidP="00A4598E">
      <w:pPr>
        <w:pStyle w:val="whitespace-normal"/>
        <w:numPr>
          <w:ilvl w:val="0"/>
          <w:numId w:val="3"/>
        </w:numPr>
      </w:pPr>
      <w:r>
        <w:t>Established clinical operations infrastructure in APAC region, expanding trial capacity to 15 new sites</w:t>
      </w:r>
    </w:p>
    <w:p w14:paraId="736D0C25" w14:textId="77777777" w:rsidR="00A4598E" w:rsidRDefault="00A4598E" w:rsidP="00A4598E">
      <w:pPr>
        <w:pStyle w:val="whitespace-normal"/>
      </w:pPr>
      <w:r>
        <w:rPr>
          <w:rStyle w:val="Strong"/>
          <w:rFonts w:eastAsiaTheme="majorEastAsia"/>
        </w:rPr>
        <w:t>Confidential Biosciences Inc</w:t>
      </w:r>
      <w:r>
        <w:t xml:space="preserve"> | July 2012 - March 2018</w:t>
      </w:r>
      <w:r>
        <w:br/>
      </w:r>
      <w:r>
        <w:rPr>
          <w:rStyle w:val="Strong"/>
          <w:rFonts w:eastAsiaTheme="majorEastAsia"/>
        </w:rPr>
        <w:t>Medical Director, Rare Diseases</w:t>
      </w:r>
      <w:r>
        <w:t xml:space="preserve"> | June 2015 - March 2018</w:t>
      </w:r>
    </w:p>
    <w:p w14:paraId="3977E014" w14:textId="77777777" w:rsidR="00A4598E" w:rsidRDefault="00A4598E" w:rsidP="00A4598E">
      <w:pPr>
        <w:pStyle w:val="whitespace-normal"/>
        <w:numPr>
          <w:ilvl w:val="0"/>
          <w:numId w:val="4"/>
        </w:numPr>
      </w:pPr>
      <w:r>
        <w:t>Directed clinical development for first-in-class substrate reduction therapy targeting Fabry disease</w:t>
      </w:r>
    </w:p>
    <w:p w14:paraId="46DC23D3" w14:textId="77777777" w:rsidR="00A4598E" w:rsidRDefault="00A4598E" w:rsidP="00A4598E">
      <w:pPr>
        <w:pStyle w:val="whitespace-normal"/>
        <w:numPr>
          <w:ilvl w:val="0"/>
          <w:numId w:val="4"/>
        </w:numPr>
      </w:pPr>
      <w:r>
        <w:t>Led successful IND submission and Phase 1/2 trial execution demonstrating proof-of-mechanism</w:t>
      </w:r>
    </w:p>
    <w:p w14:paraId="06573736" w14:textId="77777777" w:rsidR="00A4598E" w:rsidRDefault="00A4598E" w:rsidP="00A4598E">
      <w:pPr>
        <w:pStyle w:val="whitespace-normal"/>
        <w:numPr>
          <w:ilvl w:val="0"/>
          <w:numId w:val="4"/>
        </w:numPr>
      </w:pPr>
      <w:r>
        <w:t>Collaborated with patient advocacy groups (National Fabry Disease Foundation) to design patient-centric trial protocols</w:t>
      </w:r>
    </w:p>
    <w:p w14:paraId="5AEDD920" w14:textId="77777777" w:rsidR="00A4598E" w:rsidRDefault="00A4598E" w:rsidP="00A4598E">
      <w:pPr>
        <w:pStyle w:val="whitespace-normal"/>
        <w:numPr>
          <w:ilvl w:val="0"/>
          <w:numId w:val="4"/>
        </w:numPr>
      </w:pPr>
      <w:r>
        <w:lastRenderedPageBreak/>
        <w:t>Authored 8 peer-reviewed publications and 12 congress presentations establishing thought leadership in lysosomal storage disorders</w:t>
      </w:r>
    </w:p>
    <w:p w14:paraId="71AF778A" w14:textId="77777777" w:rsidR="00A4598E" w:rsidRDefault="00A4598E" w:rsidP="00A4598E">
      <w:pPr>
        <w:pStyle w:val="whitespace-normal"/>
      </w:pPr>
      <w:r>
        <w:rPr>
          <w:rStyle w:val="Strong"/>
          <w:rFonts w:eastAsiaTheme="majorEastAsia"/>
        </w:rPr>
        <w:t>Senior Clinical Scientist</w:t>
      </w:r>
      <w:r>
        <w:t xml:space="preserve"> | July 2012 - May 2015</w:t>
      </w:r>
    </w:p>
    <w:p w14:paraId="7389DDF1" w14:textId="77777777" w:rsidR="00A4598E" w:rsidRDefault="00A4598E" w:rsidP="00A4598E">
      <w:pPr>
        <w:pStyle w:val="whitespace-normal"/>
        <w:numPr>
          <w:ilvl w:val="0"/>
          <w:numId w:val="5"/>
        </w:numPr>
      </w:pPr>
      <w:r>
        <w:t>Managed Phase 2 trial for rare neurological disorder therapy, successfully achieving dose-selection objectives</w:t>
      </w:r>
    </w:p>
    <w:p w14:paraId="0B146DA6" w14:textId="77777777" w:rsidR="00A4598E" w:rsidRDefault="00A4598E" w:rsidP="00A4598E">
      <w:pPr>
        <w:pStyle w:val="whitespace-normal"/>
        <w:numPr>
          <w:ilvl w:val="0"/>
          <w:numId w:val="5"/>
        </w:numPr>
      </w:pPr>
      <w:r>
        <w:t>Conducted medical monitoring for safety oversight across 3 concurrent Phase 1/2 studies</w:t>
      </w:r>
    </w:p>
    <w:p w14:paraId="29BF3FF7" w14:textId="77777777" w:rsidR="00A4598E" w:rsidRDefault="00A4598E" w:rsidP="00A4598E">
      <w:pPr>
        <w:pStyle w:val="whitespace-normal"/>
      </w:pPr>
      <w:r>
        <w:rPr>
          <w:rStyle w:val="Strong"/>
          <w:rFonts w:eastAsiaTheme="majorEastAsia"/>
        </w:rPr>
        <w:t>Confidential Children's Hospital</w:t>
      </w:r>
      <w:r>
        <w:t xml:space="preserve"> | July 2010 - June 2012</w:t>
      </w:r>
      <w:r>
        <w:br/>
      </w:r>
      <w:r>
        <w:rPr>
          <w:rStyle w:val="Strong"/>
          <w:rFonts w:eastAsiaTheme="majorEastAsia"/>
        </w:rPr>
        <w:t>Clinical Fellow, Medical Genetics</w:t>
      </w:r>
    </w:p>
    <w:p w14:paraId="2905A539" w14:textId="77777777" w:rsidR="00A4598E" w:rsidRDefault="00A4598E" w:rsidP="00A4598E">
      <w:pPr>
        <w:pStyle w:val="whitespace-normal"/>
        <w:numPr>
          <w:ilvl w:val="0"/>
          <w:numId w:val="6"/>
        </w:numPr>
      </w:pPr>
      <w:r>
        <w:t>Completed subspecialty training in biochemical genetics and inherited metabolic disorders</w:t>
      </w:r>
    </w:p>
    <w:p w14:paraId="58A041EA" w14:textId="77777777" w:rsidR="00A4598E" w:rsidRDefault="00A4598E" w:rsidP="00A4598E">
      <w:pPr>
        <w:pStyle w:val="whitespace-normal"/>
        <w:numPr>
          <w:ilvl w:val="0"/>
          <w:numId w:val="6"/>
        </w:numPr>
      </w:pPr>
      <w:r>
        <w:t>Diagnosed and managed 50+ pediatric patients with lysosomal storage disorders</w:t>
      </w:r>
    </w:p>
    <w:p w14:paraId="170D8F6B" w14:textId="77777777" w:rsidR="00A4598E" w:rsidRDefault="00A4598E" w:rsidP="00A4598E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EDUCATION</w:t>
      </w:r>
    </w:p>
    <w:p w14:paraId="7E43B470" w14:textId="77777777" w:rsidR="00A4598E" w:rsidRDefault="00A4598E" w:rsidP="00A4598E">
      <w:pPr>
        <w:pStyle w:val="whitespace-normal"/>
      </w:pPr>
      <w:r>
        <w:rPr>
          <w:rStyle w:val="Strong"/>
          <w:rFonts w:eastAsiaTheme="majorEastAsia"/>
        </w:rPr>
        <w:t>Confidential Medical School</w:t>
      </w:r>
      <w:r>
        <w:t>, 2010</w:t>
      </w:r>
      <w:r>
        <w:br/>
        <w:t>Doctor of Medicine (MD)</w:t>
      </w:r>
    </w:p>
    <w:p w14:paraId="066E3237" w14:textId="77777777" w:rsidR="00A4598E" w:rsidRDefault="00A4598E" w:rsidP="00A4598E">
      <w:pPr>
        <w:pStyle w:val="whitespace-normal"/>
        <w:numPr>
          <w:ilvl w:val="0"/>
          <w:numId w:val="7"/>
        </w:numPr>
      </w:pPr>
      <w:r>
        <w:t>Chief Resident, Department of Pediatrics</w:t>
      </w:r>
    </w:p>
    <w:p w14:paraId="4C890F78" w14:textId="77777777" w:rsidR="00A4598E" w:rsidRDefault="00A4598E" w:rsidP="00A4598E">
      <w:pPr>
        <w:pStyle w:val="whitespace-normal"/>
      </w:pPr>
      <w:r>
        <w:rPr>
          <w:rStyle w:val="Strong"/>
          <w:rFonts w:eastAsiaTheme="majorEastAsia"/>
        </w:rPr>
        <w:t>Confidential Business School</w:t>
      </w:r>
      <w:r>
        <w:t>, 2016</w:t>
      </w:r>
      <w:r>
        <w:br/>
        <w:t>Master of Business Administration (MBA)</w:t>
      </w:r>
    </w:p>
    <w:p w14:paraId="41233DDE" w14:textId="77777777" w:rsidR="00A4598E" w:rsidRDefault="00A4598E" w:rsidP="00A4598E">
      <w:pPr>
        <w:pStyle w:val="whitespace-normal"/>
        <w:numPr>
          <w:ilvl w:val="0"/>
          <w:numId w:val="8"/>
        </w:numPr>
      </w:pPr>
      <w:r>
        <w:t>Healthcare Management focus, Dean's List</w:t>
      </w:r>
    </w:p>
    <w:p w14:paraId="00094E3C" w14:textId="77777777" w:rsidR="00A4598E" w:rsidRDefault="00A4598E" w:rsidP="00A4598E">
      <w:pPr>
        <w:pStyle w:val="whitespace-normal"/>
      </w:pPr>
      <w:r>
        <w:rPr>
          <w:rStyle w:val="Strong"/>
          <w:rFonts w:eastAsiaTheme="majorEastAsia"/>
        </w:rPr>
        <w:t>Confidential University</w:t>
      </w:r>
      <w:r>
        <w:t>, 2006</w:t>
      </w:r>
      <w:r>
        <w:br/>
        <w:t>Bachelor of Science in Molecular Biology, Magna Cum Laude</w:t>
      </w:r>
    </w:p>
    <w:p w14:paraId="000B0C72" w14:textId="77777777" w:rsidR="00A4598E" w:rsidRDefault="00A4598E" w:rsidP="00A4598E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PUBLICATIONS &amp; LEADERSHIP</w:t>
      </w:r>
    </w:p>
    <w:p w14:paraId="42E9312E" w14:textId="77777777" w:rsidR="00A4598E" w:rsidRDefault="00A4598E" w:rsidP="00A4598E">
      <w:pPr>
        <w:pStyle w:val="whitespace-normal"/>
        <w:numPr>
          <w:ilvl w:val="0"/>
          <w:numId w:val="9"/>
        </w:numPr>
      </w:pPr>
      <w:r>
        <w:t>Author of 15+ peer-reviewed publications in rare disease clinical development</w:t>
      </w:r>
    </w:p>
    <w:p w14:paraId="071088F3" w14:textId="77777777" w:rsidR="00A4598E" w:rsidRDefault="00A4598E" w:rsidP="00A4598E">
      <w:pPr>
        <w:pStyle w:val="whitespace-normal"/>
        <w:numPr>
          <w:ilvl w:val="0"/>
          <w:numId w:val="9"/>
        </w:numPr>
      </w:pPr>
      <w:r>
        <w:t xml:space="preserve">Editorial Board Member, </w:t>
      </w:r>
      <w:r>
        <w:rPr>
          <w:rStyle w:val="Emphasis"/>
          <w:rFonts w:eastAsiaTheme="majorEastAsia"/>
        </w:rPr>
        <w:t>Orphan Drugs: Research and Reviews</w:t>
      </w:r>
    </w:p>
    <w:p w14:paraId="20628A1A" w14:textId="77777777" w:rsidR="00A4598E" w:rsidRDefault="00A4598E" w:rsidP="00A4598E">
      <w:pPr>
        <w:pStyle w:val="whitespace-normal"/>
        <w:numPr>
          <w:ilvl w:val="0"/>
          <w:numId w:val="9"/>
        </w:numPr>
      </w:pPr>
      <w:r>
        <w:t>Scientific Advisory Board, Pompe Disease Patient Advocacy Alliance</w:t>
      </w:r>
    </w:p>
    <w:p w14:paraId="7F58C748" w14:textId="77777777" w:rsidR="00A4598E" w:rsidRDefault="00A4598E" w:rsidP="00A4598E">
      <w:pPr>
        <w:pStyle w:val="whitespace-normal"/>
        <w:numPr>
          <w:ilvl w:val="0"/>
          <w:numId w:val="9"/>
        </w:numPr>
      </w:pPr>
      <w:r>
        <w:t>Invited Lecturer, DIA Global Annual Meeting (2020, 2023)</w:t>
      </w:r>
    </w:p>
    <w:p w14:paraId="1E1A582E" w14:textId="77777777" w:rsidR="00F90CB3" w:rsidRDefault="00F90CB3"/>
    <w:sectPr w:rsidR="00F90CB3" w:rsidSect="00A4598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712E2"/>
    <w:multiLevelType w:val="multilevel"/>
    <w:tmpl w:val="568A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F3675"/>
    <w:multiLevelType w:val="multilevel"/>
    <w:tmpl w:val="DAAC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6AE5"/>
    <w:multiLevelType w:val="multilevel"/>
    <w:tmpl w:val="48AE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226A9"/>
    <w:multiLevelType w:val="multilevel"/>
    <w:tmpl w:val="A4EA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50342"/>
    <w:multiLevelType w:val="multilevel"/>
    <w:tmpl w:val="6992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8724B"/>
    <w:multiLevelType w:val="multilevel"/>
    <w:tmpl w:val="FFBE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34B1D"/>
    <w:multiLevelType w:val="multilevel"/>
    <w:tmpl w:val="C712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58593A"/>
    <w:multiLevelType w:val="multilevel"/>
    <w:tmpl w:val="9AB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F3A8C"/>
    <w:multiLevelType w:val="multilevel"/>
    <w:tmpl w:val="B082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371446">
    <w:abstractNumId w:val="0"/>
  </w:num>
  <w:num w:numId="2" w16cid:durableId="918293149">
    <w:abstractNumId w:val="1"/>
  </w:num>
  <w:num w:numId="3" w16cid:durableId="1939479832">
    <w:abstractNumId w:val="8"/>
  </w:num>
  <w:num w:numId="4" w16cid:durableId="1463114069">
    <w:abstractNumId w:val="4"/>
  </w:num>
  <w:num w:numId="5" w16cid:durableId="73281497">
    <w:abstractNumId w:val="5"/>
  </w:num>
  <w:num w:numId="6" w16cid:durableId="1055397100">
    <w:abstractNumId w:val="2"/>
  </w:num>
  <w:num w:numId="7" w16cid:durableId="2039893956">
    <w:abstractNumId w:val="3"/>
  </w:num>
  <w:num w:numId="8" w16cid:durableId="2056197974">
    <w:abstractNumId w:val="6"/>
  </w:num>
  <w:num w:numId="9" w16cid:durableId="5338089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98E"/>
    <w:rsid w:val="000B1872"/>
    <w:rsid w:val="00801453"/>
    <w:rsid w:val="00A4598E"/>
    <w:rsid w:val="00F9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A44BA"/>
  <w15:chartTrackingRefBased/>
  <w15:docId w15:val="{E0CECABC-215A-4BCC-B9D1-13FD8D785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98E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A45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4598E"/>
    <w:rPr>
      <w:b/>
      <w:bCs/>
    </w:rPr>
  </w:style>
  <w:style w:type="character" w:styleId="Emphasis">
    <w:name w:val="Emphasis"/>
    <w:basedOn w:val="DefaultParagraphFont"/>
    <w:uiPriority w:val="20"/>
    <w:qFormat/>
    <w:rsid w:val="00A459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2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508</Words>
  <Characters>3467</Characters>
  <Application>Microsoft Office Word</Application>
  <DocSecurity>0</DocSecurity>
  <Lines>65</Lines>
  <Paragraphs>47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2025-10-28T19:59:00Z</dcterms:created>
  <dcterms:modified xsi:type="dcterms:W3CDTF">2025-10-28T20:01:00Z</dcterms:modified>
</cp:coreProperties>
</file>