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FFBFA" w14:textId="4E52FE87" w:rsidR="00DE0E47" w:rsidRPr="000268B1" w:rsidRDefault="000268B1" w:rsidP="000268B1">
      <w:pPr>
        <w:jc w:val="center"/>
        <w:rPr>
          <w:sz w:val="32"/>
          <w:szCs w:val="32"/>
        </w:rPr>
      </w:pPr>
      <w:r w:rsidRPr="000268B1">
        <w:rPr>
          <w:b/>
          <w:bCs/>
          <w:sz w:val="32"/>
          <w:szCs w:val="32"/>
        </w:rPr>
        <w:t>Confidential Candidate</w:t>
      </w:r>
    </w:p>
    <w:p w14:paraId="2A8278C4" w14:textId="413E2D1B" w:rsidR="00DE0E47" w:rsidRDefault="000268B1">
      <w:pPr>
        <w:spacing w:after="100"/>
        <w:jc w:val="center"/>
      </w:pPr>
      <w:proofErr w:type="gramStart"/>
      <w:r>
        <w:t xml:space="preserve">NORFOLK,  </w:t>
      </w:r>
      <w:r>
        <w:t>VIRGINIA</w:t>
      </w:r>
      <w:proofErr w:type="gramEnd"/>
    </w:p>
    <w:p w14:paraId="6A5FD3F6" w14:textId="77777777" w:rsidR="00DE0E47" w:rsidRDefault="000268B1" w:rsidP="000268B1">
      <w:pPr>
        <w:pStyle w:val="Heading3"/>
        <w:pBdr>
          <w:bottom w:val="single" w:sz="4" w:space="1" w:color="auto"/>
        </w:pBdr>
        <w:spacing w:before="300"/>
      </w:pPr>
      <w:r>
        <w:t>PROFESSIONAL SUMMARY</w:t>
      </w:r>
    </w:p>
    <w:p w14:paraId="79537F9F" w14:textId="77777777" w:rsidR="00DE0E47" w:rsidRDefault="000268B1">
      <w:pPr>
        <w:spacing w:after="100"/>
      </w:pPr>
      <w:r>
        <w:t>Senior Clinical Research Associate with 6+ years specializing in CRO oversight, Phase 2/3 monitoring, and pivotal trial execution across rare disease and rheumatology indications. Proven track record of managing external CRO CRA teams, driving database clean activities, and maintaining inspection-ready site documentation throughout high-velocity clinical programs.</w:t>
      </w:r>
    </w:p>
    <w:p w14:paraId="1353EF40" w14:textId="77777777" w:rsidR="00DE0E47" w:rsidRDefault="000268B1">
      <w:pPr>
        <w:spacing w:after="100"/>
      </w:pPr>
      <w:r>
        <w:t>Expert in GCP compliance, monitoring visit report review, site issue escalation, and protocol deviation management with deep experience in Veeva CTMS and Medidata Rave EDC systems. Known for collaborative leadership style, strong site relationships, and ability to ramp quickly in lean biotech environments.</w:t>
      </w:r>
    </w:p>
    <w:p w14:paraId="370A3512" w14:textId="77777777" w:rsidR="00DE0E47" w:rsidRDefault="000268B1" w:rsidP="000268B1">
      <w:pPr>
        <w:pStyle w:val="Heading3"/>
        <w:pBdr>
          <w:bottom w:val="single" w:sz="4" w:space="1" w:color="auto"/>
        </w:pBdr>
      </w:pPr>
      <w:r>
        <w:t>PROFESSIONAL EXPERIENCE</w:t>
      </w:r>
    </w:p>
    <w:p w14:paraId="1DA2C18B" w14:textId="74480F8F" w:rsidR="00DE0E47" w:rsidRDefault="000268B1">
      <w:pPr>
        <w:spacing w:before="200" w:after="100"/>
      </w:pPr>
      <w:r>
        <w:rPr>
          <w:b/>
          <w:bCs/>
        </w:rPr>
        <w:t>CONFIDENTIAL THERAPEUTICS</w:t>
      </w:r>
      <w:r>
        <w:t xml:space="preserve"> | Washington, DC</w:t>
      </w:r>
    </w:p>
    <w:p w14:paraId="07E7A859" w14:textId="79AB472C" w:rsidR="00DE0E47" w:rsidRDefault="000268B1">
      <w:pPr>
        <w:spacing w:after="100"/>
      </w:pPr>
      <w:r>
        <w:rPr>
          <w:b/>
          <w:bCs/>
        </w:rPr>
        <w:t>Senior Clinical Research Associate</w:t>
      </w:r>
      <w:r>
        <w:t xml:space="preserve"> | March 2021 - Present</w:t>
      </w:r>
    </w:p>
    <w:p w14:paraId="5D32104F" w14:textId="77777777" w:rsidR="00DE0E47" w:rsidRDefault="000268B1">
      <w:pPr>
        <w:pStyle w:val="ListParagraph"/>
        <w:numPr>
          <w:ilvl w:val="0"/>
          <w:numId w:val="2"/>
        </w:numPr>
      </w:pPr>
      <w:r>
        <w:t>Oversee 12 regional investigational sites for pivotal Phase 3 rare disease program (gout indication), ensuring GCP compliance, monitoring quality, and timeline adherence across assigned Mid-Atlantic and Northeast territory</w:t>
      </w:r>
    </w:p>
    <w:p w14:paraId="64A88675" w14:textId="77777777" w:rsidR="00DE0E47" w:rsidRDefault="000268B1">
      <w:pPr>
        <w:pStyle w:val="ListParagraph"/>
        <w:numPr>
          <w:ilvl w:val="0"/>
          <w:numId w:val="2"/>
        </w:numPr>
      </w:pPr>
      <w:r>
        <w:t>Provide day-to-day oversight of 8 CRO CRAs including monitoring plan review, visit quality assessment, issue escalation, and follow-through tracking, achieving 98% on-time visit completion rate</w:t>
      </w:r>
    </w:p>
    <w:p w14:paraId="303B1597" w14:textId="77777777" w:rsidR="00DE0E47" w:rsidRDefault="000268B1">
      <w:pPr>
        <w:pStyle w:val="ListParagraph"/>
        <w:numPr>
          <w:ilvl w:val="0"/>
          <w:numId w:val="2"/>
        </w:numPr>
      </w:pPr>
      <w:r>
        <w:t>Review 40+ monitoring visit reports and follow-up letters monthly, tracking action items and driving resolution of site issues with average turnaround of 5 business days versus 12-day industry benchmark</w:t>
      </w:r>
    </w:p>
    <w:p w14:paraId="65B80896" w14:textId="77777777" w:rsidR="00DE0E47" w:rsidRDefault="000268B1">
      <w:pPr>
        <w:pStyle w:val="ListParagraph"/>
        <w:numPr>
          <w:ilvl w:val="0"/>
          <w:numId w:val="2"/>
        </w:numPr>
      </w:pPr>
      <w:r>
        <w:t>Partner with Clinical Ops leadership to support database cleaning activities, coordinating resolution of 350+ queries during pre-lock period and achieving database lock within 2 weeks of LPLV</w:t>
      </w:r>
    </w:p>
    <w:p w14:paraId="602E4E50" w14:textId="77777777" w:rsidR="00DE0E47" w:rsidRDefault="000268B1">
      <w:pPr>
        <w:pStyle w:val="ListParagraph"/>
        <w:numPr>
          <w:ilvl w:val="0"/>
          <w:numId w:val="2"/>
        </w:numPr>
      </w:pPr>
      <w:r>
        <w:t>Escalate site risks early and support mitigation plans across enrollment, data quality, and study conduct challenges, reducing protocol deviations by 35% across assigned region through proactive intervention</w:t>
      </w:r>
    </w:p>
    <w:p w14:paraId="6B7F3B83" w14:textId="77777777" w:rsidR="00DE0E47" w:rsidRDefault="000268B1">
      <w:pPr>
        <w:pStyle w:val="ListParagraph"/>
        <w:numPr>
          <w:ilvl w:val="0"/>
          <w:numId w:val="2"/>
        </w:numPr>
      </w:pPr>
      <w:r>
        <w:t>Co-monitor sites as needed when CRO monitoring bandwidth is constrained, conducting 15+ co-monitoring visits to address critical enrollment and data quality issues</w:t>
      </w:r>
    </w:p>
    <w:p w14:paraId="0B1AF260" w14:textId="77777777" w:rsidR="00DE0E47" w:rsidRDefault="000268B1">
      <w:pPr>
        <w:pStyle w:val="ListParagraph"/>
        <w:numPr>
          <w:ilvl w:val="0"/>
          <w:numId w:val="2"/>
        </w:numPr>
      </w:pPr>
      <w:r>
        <w:t>Maintain clean documentation and strong inspection readiness habits, achieving 99.2% TMF completeness score across assigned sites and supporting successful sponsor audit with zero critical findings</w:t>
      </w:r>
    </w:p>
    <w:p w14:paraId="23D10200" w14:textId="77777777" w:rsidR="00DE0E47" w:rsidRDefault="000268B1">
      <w:pPr>
        <w:pStyle w:val="ListParagraph"/>
        <w:numPr>
          <w:ilvl w:val="0"/>
          <w:numId w:val="2"/>
        </w:numPr>
        <w:spacing w:after="200"/>
      </w:pPr>
      <w:r>
        <w:t>Implemented standardized CRO oversight tracking system using Veeva CTMS, improving visibility into monitoring cadence compliance and enabling real-time escalation of at-risk sites</w:t>
      </w:r>
    </w:p>
    <w:p w14:paraId="24468B86" w14:textId="77777777" w:rsidR="00DE0E47" w:rsidRDefault="000268B1">
      <w:pPr>
        <w:spacing w:before="200" w:after="100"/>
      </w:pPr>
      <w:r>
        <w:rPr>
          <w:b/>
          <w:bCs/>
        </w:rPr>
        <w:t>CONFIDENTIAL PHARMA</w:t>
      </w:r>
      <w:r>
        <w:t xml:space="preserve"> | Bethesda, MD</w:t>
      </w:r>
    </w:p>
    <w:p w14:paraId="41635F22" w14:textId="77777777" w:rsidR="00DE0E47" w:rsidRDefault="000268B1">
      <w:pPr>
        <w:spacing w:after="100"/>
      </w:pPr>
      <w:r>
        <w:rPr>
          <w:b/>
          <w:bCs/>
        </w:rPr>
        <w:t>Clinical Research Associate II</w:t>
      </w:r>
      <w:r>
        <w:t xml:space="preserve"> | June 2018 - February 2021</w:t>
      </w:r>
    </w:p>
    <w:p w14:paraId="1C4571D2" w14:textId="77777777" w:rsidR="00DE0E47" w:rsidRDefault="000268B1">
      <w:pPr>
        <w:pStyle w:val="ListParagraph"/>
        <w:numPr>
          <w:ilvl w:val="0"/>
          <w:numId w:val="2"/>
        </w:numPr>
      </w:pPr>
      <w:r>
        <w:t>Conducted independent monitoring visits for Phase 2/3 rheumatology and autoimmune disease trials across 18 sites in Mid-Atlantic region, completing 120+ monitoring visits with 100% on-time report submission</w:t>
      </w:r>
    </w:p>
    <w:p w14:paraId="2F2C504B" w14:textId="77777777" w:rsidR="00DE0E47" w:rsidRDefault="000268B1">
      <w:pPr>
        <w:pStyle w:val="ListParagraph"/>
        <w:numPr>
          <w:ilvl w:val="0"/>
          <w:numId w:val="2"/>
        </w:numPr>
      </w:pPr>
      <w:r>
        <w:t>Managed site activation activities including regulatory document collection, site initiation visits, and investigator training for 8 new site activations, achieving average activation timeline of 6 weeks versus 10-week benchmark</w:t>
      </w:r>
    </w:p>
    <w:p w14:paraId="52112044" w14:textId="77777777" w:rsidR="00DE0E47" w:rsidRDefault="000268B1">
      <w:pPr>
        <w:pStyle w:val="ListParagraph"/>
        <w:numPr>
          <w:ilvl w:val="0"/>
          <w:numId w:val="2"/>
        </w:numPr>
      </w:pPr>
      <w:r>
        <w:t>Maintained 100% inspection readiness through rigorous documentation practices and quarterly TMF quality checks, supporting successful FDA inspection at 2 assigned sites with zero Form 483 observations</w:t>
      </w:r>
    </w:p>
    <w:p w14:paraId="760FB46E" w14:textId="77777777" w:rsidR="00DE0E47" w:rsidRDefault="000268B1">
      <w:pPr>
        <w:pStyle w:val="ListParagraph"/>
        <w:numPr>
          <w:ilvl w:val="0"/>
          <w:numId w:val="2"/>
        </w:numPr>
      </w:pPr>
      <w:r>
        <w:t>Trained 4 junior CRAs on monitoring best practices, EDC systems, and GCP requirements, developing standardized training materials adopted across regional monitoring team</w:t>
      </w:r>
    </w:p>
    <w:p w14:paraId="5389D719" w14:textId="77777777" w:rsidR="00DE0E47" w:rsidRDefault="000268B1">
      <w:pPr>
        <w:pStyle w:val="ListParagraph"/>
        <w:numPr>
          <w:ilvl w:val="0"/>
          <w:numId w:val="2"/>
        </w:numPr>
      </w:pPr>
      <w:r>
        <w:t>Collaborated with data management on query resolution, reducing average query age from 21 days to 8 days across assigned sites through proactive site follow-up</w:t>
      </w:r>
    </w:p>
    <w:p w14:paraId="6A0DACBA" w14:textId="77777777" w:rsidR="00DE0E47" w:rsidRDefault="000268B1">
      <w:pPr>
        <w:pStyle w:val="ListParagraph"/>
        <w:numPr>
          <w:ilvl w:val="0"/>
          <w:numId w:val="2"/>
        </w:numPr>
      </w:pPr>
      <w:r>
        <w:t>Implemented risk-based monitoring approach at pilot sites, identifying early signals that prevented 3 potential major protocol deviations</w:t>
      </w:r>
    </w:p>
    <w:p w14:paraId="29A842D3" w14:textId="77777777" w:rsidR="00DE0E47" w:rsidRDefault="000268B1">
      <w:pPr>
        <w:pStyle w:val="ListParagraph"/>
        <w:numPr>
          <w:ilvl w:val="0"/>
          <w:numId w:val="2"/>
        </w:numPr>
        <w:spacing w:after="200"/>
      </w:pPr>
      <w:r>
        <w:t>Served as regional point of contact for Medidata Rave EDC issues, troubleshooting site access and data entry challenges across 18-site portfolio</w:t>
      </w:r>
    </w:p>
    <w:p w14:paraId="371857AB" w14:textId="77777777" w:rsidR="00DE0E47" w:rsidRDefault="000268B1">
      <w:pPr>
        <w:spacing w:before="200" w:after="100"/>
      </w:pPr>
      <w:r>
        <w:rPr>
          <w:b/>
          <w:bCs/>
        </w:rPr>
        <w:lastRenderedPageBreak/>
        <w:t>CONFIDENTIAL CRO</w:t>
      </w:r>
      <w:r>
        <w:t xml:space="preserve"> | Rockville, MD</w:t>
      </w:r>
    </w:p>
    <w:p w14:paraId="3BE80BBF" w14:textId="77777777" w:rsidR="00DE0E47" w:rsidRDefault="000268B1">
      <w:pPr>
        <w:spacing w:after="100"/>
      </w:pPr>
      <w:r>
        <w:rPr>
          <w:b/>
          <w:bCs/>
        </w:rPr>
        <w:t>Clinical Research Associate I</w:t>
      </w:r>
      <w:r>
        <w:t xml:space="preserve"> | August 2016 - May 2018</w:t>
      </w:r>
    </w:p>
    <w:p w14:paraId="501762F2" w14:textId="77777777" w:rsidR="00DE0E47" w:rsidRDefault="000268B1">
      <w:pPr>
        <w:pStyle w:val="ListParagraph"/>
        <w:numPr>
          <w:ilvl w:val="0"/>
          <w:numId w:val="2"/>
        </w:numPr>
      </w:pPr>
      <w:r>
        <w:t>Supported monitoring activities for Phase 1/2 rare disease and cardiovascular trials, conducting 60+ monitoring visits across 12 sites under senior CRA mentorship</w:t>
      </w:r>
    </w:p>
    <w:p w14:paraId="2C3BBF79" w14:textId="77777777" w:rsidR="00DE0E47" w:rsidRDefault="000268B1">
      <w:pPr>
        <w:pStyle w:val="ListParagraph"/>
        <w:numPr>
          <w:ilvl w:val="0"/>
          <w:numId w:val="2"/>
        </w:numPr>
      </w:pPr>
      <w:r>
        <w:t>Prepared monitoring visit reports, follow-up letters, and regulatory document packages, achieving 100% compliance with sponsor timelines and quality standards</w:t>
      </w:r>
    </w:p>
    <w:p w14:paraId="0B2D4B78" w14:textId="77777777" w:rsidR="00DE0E47" w:rsidRDefault="000268B1">
      <w:pPr>
        <w:pStyle w:val="ListParagraph"/>
        <w:numPr>
          <w:ilvl w:val="0"/>
          <w:numId w:val="2"/>
        </w:numPr>
      </w:pPr>
      <w:r>
        <w:t>Managed site regulatory binder maintenance and essential document tracking, ensuring 100% inspection readiness across assigned portfolio</w:t>
      </w:r>
    </w:p>
    <w:p w14:paraId="63B4EB25" w14:textId="77777777" w:rsidR="00DE0E47" w:rsidRDefault="000268B1">
      <w:pPr>
        <w:pStyle w:val="ListParagraph"/>
        <w:numPr>
          <w:ilvl w:val="0"/>
          <w:numId w:val="2"/>
        </w:numPr>
      </w:pPr>
      <w:r>
        <w:t>Coordinated site closeout activities for 6 completed studies, reconciling investigational product accountability and archiving documentation per ICH-GCP requirements</w:t>
      </w:r>
    </w:p>
    <w:p w14:paraId="2EADDF42" w14:textId="77777777" w:rsidR="00DE0E47" w:rsidRDefault="000268B1">
      <w:pPr>
        <w:pStyle w:val="ListParagraph"/>
        <w:numPr>
          <w:ilvl w:val="0"/>
          <w:numId w:val="2"/>
        </w:numPr>
        <w:spacing w:after="200"/>
      </w:pPr>
      <w:r>
        <w:t>Developed expertise in CDISC-compliant source documentation review and electronic data capture validation across multiple EDC platforms</w:t>
      </w:r>
    </w:p>
    <w:p w14:paraId="5F5AA145" w14:textId="77777777" w:rsidR="00DE0E47" w:rsidRDefault="000268B1" w:rsidP="000268B1">
      <w:pPr>
        <w:pStyle w:val="Heading3"/>
        <w:pBdr>
          <w:bottom w:val="single" w:sz="4" w:space="1" w:color="auto"/>
        </w:pBdr>
      </w:pPr>
      <w:r>
        <w:t>EDUCATION</w:t>
      </w:r>
    </w:p>
    <w:p w14:paraId="32E9BA0C" w14:textId="77777777" w:rsidR="00DE0E47" w:rsidRDefault="000268B1">
      <w:pPr>
        <w:spacing w:after="100"/>
      </w:pPr>
      <w:r>
        <w:rPr>
          <w:b/>
          <w:bCs/>
        </w:rPr>
        <w:t>GEORGE WASHINGTON UNIVERSITY</w:t>
      </w:r>
      <w:r>
        <w:t xml:space="preserve"> | Washington, DC</w:t>
      </w:r>
    </w:p>
    <w:p w14:paraId="4B931A00" w14:textId="77777777" w:rsidR="00DE0E47" w:rsidRDefault="000268B1">
      <w:pPr>
        <w:spacing w:after="100"/>
      </w:pPr>
      <w:r>
        <w:t>2018 | Master of Science in Clinical Research Administration</w:t>
      </w:r>
    </w:p>
    <w:p w14:paraId="65596251" w14:textId="77777777" w:rsidR="00DE0E47" w:rsidRDefault="000268B1">
      <w:pPr>
        <w:spacing w:after="200"/>
      </w:pPr>
      <w:r>
        <w:t>Concentration: Clinical Trial Management</w:t>
      </w:r>
    </w:p>
    <w:p w14:paraId="311DA1FB" w14:textId="77777777" w:rsidR="00DE0E47" w:rsidRDefault="000268B1">
      <w:pPr>
        <w:spacing w:after="100"/>
      </w:pPr>
      <w:r>
        <w:rPr>
          <w:b/>
          <w:bCs/>
        </w:rPr>
        <w:t>UNIVERSITY OF VIRGINIA</w:t>
      </w:r>
      <w:r>
        <w:t xml:space="preserve"> | Charlottesville, VA</w:t>
      </w:r>
    </w:p>
    <w:p w14:paraId="58DBEAE1" w14:textId="77777777" w:rsidR="00DE0E47" w:rsidRDefault="000268B1">
      <w:pPr>
        <w:spacing w:after="100"/>
      </w:pPr>
      <w:r>
        <w:t>2016 | Bachelor of Science in Biology</w:t>
      </w:r>
    </w:p>
    <w:p w14:paraId="07CEABA2" w14:textId="77777777" w:rsidR="00DE0E47" w:rsidRDefault="000268B1">
      <w:pPr>
        <w:spacing w:after="200"/>
      </w:pPr>
      <w:r>
        <w:t>Dean's List, Pre-Health Scholars Program</w:t>
      </w:r>
    </w:p>
    <w:p w14:paraId="1E9B1CED" w14:textId="77777777" w:rsidR="00DE0E47" w:rsidRDefault="000268B1" w:rsidP="000268B1">
      <w:pPr>
        <w:pStyle w:val="Heading3"/>
        <w:pBdr>
          <w:bottom w:val="single" w:sz="4" w:space="1" w:color="auto"/>
        </w:pBdr>
      </w:pPr>
      <w:r>
        <w:t>TECHNICAL SKILLS</w:t>
      </w:r>
    </w:p>
    <w:p w14:paraId="3FB176FB" w14:textId="77777777" w:rsidR="00DE0E47" w:rsidRDefault="000268B1">
      <w:pPr>
        <w:spacing w:after="100"/>
      </w:pPr>
      <w:r>
        <w:rPr>
          <w:b/>
          <w:bCs/>
        </w:rPr>
        <w:t xml:space="preserve">EDC Systems: </w:t>
      </w:r>
      <w:r>
        <w:t xml:space="preserve">Medidata Rave, Veeva Vault eTMF, Oracle Clinical, </w:t>
      </w:r>
      <w:proofErr w:type="spellStart"/>
      <w:r>
        <w:t>InForm</w:t>
      </w:r>
      <w:proofErr w:type="spellEnd"/>
    </w:p>
    <w:p w14:paraId="162E4E95" w14:textId="77777777" w:rsidR="00DE0E47" w:rsidRDefault="000268B1">
      <w:pPr>
        <w:spacing w:after="100"/>
      </w:pPr>
      <w:r>
        <w:rPr>
          <w:b/>
          <w:bCs/>
        </w:rPr>
        <w:t xml:space="preserve">CTMS Platforms: </w:t>
      </w:r>
      <w:r>
        <w:t>Veeva CTMS, Medidata CTMS, Oracle Siebel CTMS</w:t>
      </w:r>
    </w:p>
    <w:p w14:paraId="098963FA" w14:textId="77777777" w:rsidR="00DE0E47" w:rsidRDefault="000268B1">
      <w:pPr>
        <w:spacing w:after="100"/>
      </w:pPr>
      <w:r>
        <w:rPr>
          <w:b/>
          <w:bCs/>
        </w:rPr>
        <w:t xml:space="preserve">Regulatory: </w:t>
      </w:r>
      <w:r>
        <w:t>ICH-GCP E6(R2), FDA 21 CFR Part 11, CDISC (SDTM, CDASH), Risk-Based Monitoring</w:t>
      </w:r>
    </w:p>
    <w:p w14:paraId="76CD29FC" w14:textId="77777777" w:rsidR="00DE0E47" w:rsidRDefault="000268B1">
      <w:pPr>
        <w:spacing w:after="200"/>
      </w:pPr>
      <w:r>
        <w:rPr>
          <w:b/>
          <w:bCs/>
        </w:rPr>
        <w:t xml:space="preserve">Core Competencies: </w:t>
      </w:r>
      <w:r>
        <w:t>CRO Oversight, Monitoring Quality Management, Database Clean, Site Issue Resolution, Protocol Deviation Management, TMF Quality, Inspection Readiness</w:t>
      </w:r>
    </w:p>
    <w:p w14:paraId="37D0A348" w14:textId="77777777" w:rsidR="00DE0E47" w:rsidRDefault="000268B1" w:rsidP="000268B1">
      <w:pPr>
        <w:pStyle w:val="Heading3"/>
        <w:pBdr>
          <w:bottom w:val="single" w:sz="4" w:space="1" w:color="auto"/>
        </w:pBdr>
      </w:pPr>
      <w:r>
        <w:t>CERTIFICATIONS &amp; AWARDS</w:t>
      </w:r>
    </w:p>
    <w:p w14:paraId="5A14C903" w14:textId="77777777" w:rsidR="00DE0E47" w:rsidRDefault="000268B1">
      <w:pPr>
        <w:pStyle w:val="ListParagraph"/>
        <w:numPr>
          <w:ilvl w:val="0"/>
          <w:numId w:val="2"/>
        </w:numPr>
      </w:pPr>
      <w:r>
        <w:t>ACRP Certified Clinical Research Professional (CCRP), 2019</w:t>
      </w:r>
    </w:p>
    <w:p w14:paraId="6A705958" w14:textId="77777777" w:rsidR="00DE0E47" w:rsidRDefault="000268B1">
      <w:pPr>
        <w:pStyle w:val="ListParagraph"/>
        <w:numPr>
          <w:ilvl w:val="0"/>
          <w:numId w:val="2"/>
        </w:numPr>
      </w:pPr>
      <w:r>
        <w:t>SOCRA Certified Clinical Research Professional (CCRP), 2020</w:t>
      </w:r>
    </w:p>
    <w:p w14:paraId="73207C54" w14:textId="77777777" w:rsidR="00DE0E47" w:rsidRDefault="000268B1">
      <w:pPr>
        <w:pStyle w:val="ListParagraph"/>
        <w:numPr>
          <w:ilvl w:val="0"/>
          <w:numId w:val="2"/>
        </w:numPr>
      </w:pPr>
      <w:r>
        <w:t>2023 - Confidential Therapeutics Clinical Operations Excellence Award</w:t>
      </w:r>
    </w:p>
    <w:p w14:paraId="404E89EB" w14:textId="77777777" w:rsidR="00DE0E47" w:rsidRDefault="000268B1">
      <w:pPr>
        <w:pStyle w:val="ListParagraph"/>
        <w:numPr>
          <w:ilvl w:val="0"/>
          <w:numId w:val="2"/>
        </w:numPr>
        <w:spacing w:after="400"/>
      </w:pPr>
      <w:r>
        <w:t>2022 - Recognized for Outstanding Site Relationship Management during pivotal trial enrollment surge</w:t>
      </w:r>
    </w:p>
    <w:p w14:paraId="7CB6314A" w14:textId="7654BDF2" w:rsidR="00DE0E47" w:rsidRDefault="00DE0E47" w:rsidP="000268B1"/>
    <w:sectPr w:rsidR="00DE0E47" w:rsidSect="000268B1">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767159"/>
    <w:multiLevelType w:val="hybridMultilevel"/>
    <w:tmpl w:val="70F4C460"/>
    <w:lvl w:ilvl="0" w:tplc="18E69A8C">
      <w:start w:val="1"/>
      <w:numFmt w:val="bullet"/>
      <w:lvlText w:val="•"/>
      <w:lvlJc w:val="left"/>
      <w:pPr>
        <w:ind w:left="720" w:hanging="360"/>
      </w:pPr>
    </w:lvl>
    <w:lvl w:ilvl="1" w:tplc="624A2FDC">
      <w:numFmt w:val="decimal"/>
      <w:lvlText w:val=""/>
      <w:lvlJc w:val="left"/>
    </w:lvl>
    <w:lvl w:ilvl="2" w:tplc="620AB25E">
      <w:numFmt w:val="decimal"/>
      <w:lvlText w:val=""/>
      <w:lvlJc w:val="left"/>
    </w:lvl>
    <w:lvl w:ilvl="3" w:tplc="6678715E">
      <w:numFmt w:val="decimal"/>
      <w:lvlText w:val=""/>
      <w:lvlJc w:val="left"/>
    </w:lvl>
    <w:lvl w:ilvl="4" w:tplc="B34A8A62">
      <w:numFmt w:val="decimal"/>
      <w:lvlText w:val=""/>
      <w:lvlJc w:val="left"/>
    </w:lvl>
    <w:lvl w:ilvl="5" w:tplc="4E22D816">
      <w:numFmt w:val="decimal"/>
      <w:lvlText w:val=""/>
      <w:lvlJc w:val="left"/>
    </w:lvl>
    <w:lvl w:ilvl="6" w:tplc="452AAAFC">
      <w:numFmt w:val="decimal"/>
      <w:lvlText w:val=""/>
      <w:lvlJc w:val="left"/>
    </w:lvl>
    <w:lvl w:ilvl="7" w:tplc="0FB02694">
      <w:numFmt w:val="decimal"/>
      <w:lvlText w:val=""/>
      <w:lvlJc w:val="left"/>
    </w:lvl>
    <w:lvl w:ilvl="8" w:tplc="81C83802">
      <w:numFmt w:val="decimal"/>
      <w:lvlText w:val=""/>
      <w:lvlJc w:val="left"/>
    </w:lvl>
  </w:abstractNum>
  <w:abstractNum w:abstractNumId="1" w15:restartNumberingAfterBreak="0">
    <w:nsid w:val="6BAB5978"/>
    <w:multiLevelType w:val="hybridMultilevel"/>
    <w:tmpl w:val="453440FA"/>
    <w:lvl w:ilvl="0" w:tplc="156AC844">
      <w:start w:val="1"/>
      <w:numFmt w:val="bullet"/>
      <w:lvlText w:val="●"/>
      <w:lvlJc w:val="left"/>
      <w:pPr>
        <w:ind w:left="720" w:hanging="360"/>
      </w:pPr>
    </w:lvl>
    <w:lvl w:ilvl="1" w:tplc="6AD02C9C">
      <w:start w:val="1"/>
      <w:numFmt w:val="bullet"/>
      <w:lvlText w:val="○"/>
      <w:lvlJc w:val="left"/>
      <w:pPr>
        <w:ind w:left="1440" w:hanging="360"/>
      </w:pPr>
    </w:lvl>
    <w:lvl w:ilvl="2" w:tplc="B3600A50">
      <w:start w:val="1"/>
      <w:numFmt w:val="bullet"/>
      <w:lvlText w:val="■"/>
      <w:lvlJc w:val="left"/>
      <w:pPr>
        <w:ind w:left="2160" w:hanging="360"/>
      </w:pPr>
    </w:lvl>
    <w:lvl w:ilvl="3" w:tplc="199E1928">
      <w:start w:val="1"/>
      <w:numFmt w:val="bullet"/>
      <w:lvlText w:val="●"/>
      <w:lvlJc w:val="left"/>
      <w:pPr>
        <w:ind w:left="2880" w:hanging="360"/>
      </w:pPr>
    </w:lvl>
    <w:lvl w:ilvl="4" w:tplc="7FE29F4E">
      <w:start w:val="1"/>
      <w:numFmt w:val="bullet"/>
      <w:lvlText w:val="○"/>
      <w:lvlJc w:val="left"/>
      <w:pPr>
        <w:ind w:left="3600" w:hanging="360"/>
      </w:pPr>
    </w:lvl>
    <w:lvl w:ilvl="5" w:tplc="DFDEC0EE">
      <w:start w:val="1"/>
      <w:numFmt w:val="bullet"/>
      <w:lvlText w:val="■"/>
      <w:lvlJc w:val="left"/>
      <w:pPr>
        <w:ind w:left="4320" w:hanging="360"/>
      </w:pPr>
    </w:lvl>
    <w:lvl w:ilvl="6" w:tplc="1AB6FA40">
      <w:start w:val="1"/>
      <w:numFmt w:val="bullet"/>
      <w:lvlText w:val="●"/>
      <w:lvlJc w:val="left"/>
      <w:pPr>
        <w:ind w:left="5040" w:hanging="360"/>
      </w:pPr>
    </w:lvl>
    <w:lvl w:ilvl="7" w:tplc="0B2ABC2C">
      <w:start w:val="1"/>
      <w:numFmt w:val="bullet"/>
      <w:lvlText w:val="●"/>
      <w:lvlJc w:val="left"/>
      <w:pPr>
        <w:ind w:left="5760" w:hanging="360"/>
      </w:pPr>
    </w:lvl>
    <w:lvl w:ilvl="8" w:tplc="7C72C536">
      <w:start w:val="1"/>
      <w:numFmt w:val="bullet"/>
      <w:lvlText w:val="●"/>
      <w:lvlJc w:val="left"/>
      <w:pPr>
        <w:ind w:left="6480" w:hanging="360"/>
      </w:pPr>
    </w:lvl>
  </w:abstractNum>
  <w:num w:numId="1" w16cid:durableId="981809813">
    <w:abstractNumId w:val="1"/>
    <w:lvlOverride w:ilvl="0">
      <w:startOverride w:val="1"/>
    </w:lvlOverride>
  </w:num>
  <w:num w:numId="2" w16cid:durableId="19488475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E47"/>
    <w:rsid w:val="000268B1"/>
    <w:rsid w:val="00663C0D"/>
    <w:rsid w:val="00DE0E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C1314"/>
  <w15:docId w15:val="{5C0A05F4-BF7E-435C-B190-9211200A7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200" w:after="100"/>
      <w:outlineLvl w:val="1"/>
    </w:pPr>
    <w:rPr>
      <w:b/>
      <w:bCs/>
      <w:sz w:val="26"/>
      <w:szCs w:val="26"/>
    </w:rPr>
  </w:style>
  <w:style w:type="paragraph" w:styleId="Heading3">
    <w:name w:val="heading 3"/>
    <w:uiPriority w:val="9"/>
    <w:unhideWhenUsed/>
    <w:qFormat/>
    <w:pPr>
      <w:spacing w:before="16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772</Words>
  <Characters>4852</Characters>
  <Application>Microsoft Office Word</Application>
  <DocSecurity>0</DocSecurity>
  <Lines>91</Lines>
  <Paragraphs>56</Paragraphs>
  <ScaleCrop>false</ScaleCrop>
  <Company/>
  <LinksUpToDate>false</LinksUpToDate>
  <CharactersWithSpaces>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Bryan Blair</cp:lastModifiedBy>
  <cp:revision>2</cp:revision>
  <dcterms:created xsi:type="dcterms:W3CDTF">2026-01-15T20:54:00Z</dcterms:created>
  <dcterms:modified xsi:type="dcterms:W3CDTF">2026-01-15T20:54:00Z</dcterms:modified>
</cp:coreProperties>
</file>