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06C0C" w14:textId="6A8EE4E7" w:rsidR="008B43AB" w:rsidRPr="008B43AB" w:rsidRDefault="008B43AB" w:rsidP="008B43AB">
      <w:p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b/>
          <w:bCs/>
          <w:kern w:val="0"/>
          <w14:ligatures w14:val="none"/>
        </w:rPr>
        <w:t>CONFIDENTIAL CANDIDATE PROFILE</w:t>
      </w:r>
      <w:r>
        <w:rPr>
          <w:rFonts w:ascii="Times New Roman" w:eastAsia="Times New Roman" w:hAnsi="Times New Roman" w:cs="Times New Roman"/>
          <w:b/>
          <w:bCs/>
          <w:kern w:val="0"/>
          <w14:ligatures w14:val="none"/>
        </w:rPr>
        <w:t xml:space="preserve"> 2</w:t>
      </w:r>
    </w:p>
    <w:p w14:paraId="5CCDE8A4" w14:textId="77777777" w:rsidR="008B43AB" w:rsidRPr="008B43AB" w:rsidRDefault="005A18AA" w:rsidP="008B43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5580DD">
          <v:rect id="_x0000_i1025" style="width:0;height:1.5pt" o:hralign="center" o:hrstd="t" o:hr="t" fillcolor="#a0a0a0" stroked="f"/>
        </w:pict>
      </w:r>
    </w:p>
    <w:p w14:paraId="6262C513" w14:textId="77777777" w:rsidR="008B43AB" w:rsidRPr="008B43AB" w:rsidRDefault="008B43AB" w:rsidP="008B43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43AB">
        <w:rPr>
          <w:rFonts w:ascii="Times New Roman" w:eastAsia="Times New Roman" w:hAnsi="Times New Roman" w:cs="Times New Roman"/>
          <w:b/>
          <w:bCs/>
          <w:kern w:val="0"/>
          <w:sz w:val="27"/>
          <w:szCs w:val="27"/>
          <w14:ligatures w14:val="none"/>
        </w:rPr>
        <w:t>PROFESSIONAL SUMMARY</w:t>
      </w:r>
    </w:p>
    <w:p w14:paraId="022F6085" w14:textId="77777777" w:rsidR="008B43AB" w:rsidRPr="008B43AB" w:rsidRDefault="008B43AB" w:rsidP="008B43AB">
      <w:p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Accomplished clinical development leader (MD/MBA) with 12+ years of pharmaceutical experience in GI oncology, with demonstrated success in late-stage trial execution, global regulatory strategy, and commercial launch support. Led two successful NDA submissions (colorectal and hepatocellular carcinoma) and established extensive KOL networks across academic and community oncology settings. Seeking strategic opportunities in the $275K-$290K range. Available for remote leadership roles with flexible timing.</w:t>
      </w:r>
    </w:p>
    <w:p w14:paraId="6E967008" w14:textId="77777777" w:rsidR="008B43AB" w:rsidRPr="008B43AB" w:rsidRDefault="005A18AA" w:rsidP="008B43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3D6CD0">
          <v:rect id="_x0000_i1026" style="width:0;height:1.5pt" o:hralign="center" o:hrstd="t" o:hr="t" fillcolor="#a0a0a0" stroked="f"/>
        </w:pict>
      </w:r>
    </w:p>
    <w:p w14:paraId="1C54D913" w14:textId="77777777" w:rsidR="008B43AB" w:rsidRPr="008B43AB" w:rsidRDefault="008B43AB" w:rsidP="008B43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43AB">
        <w:rPr>
          <w:rFonts w:ascii="Times New Roman" w:eastAsia="Times New Roman" w:hAnsi="Times New Roman" w:cs="Times New Roman"/>
          <w:b/>
          <w:bCs/>
          <w:kern w:val="0"/>
          <w:sz w:val="27"/>
          <w:szCs w:val="27"/>
          <w14:ligatures w14:val="none"/>
        </w:rPr>
        <w:t>EXPERIENCE</w:t>
      </w:r>
    </w:p>
    <w:p w14:paraId="7E18632C" w14:textId="77777777" w:rsidR="008B43AB" w:rsidRPr="008B43AB" w:rsidRDefault="008B43AB" w:rsidP="008B43AB">
      <w:p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b/>
          <w:bCs/>
          <w:kern w:val="0"/>
          <w14:ligatures w14:val="none"/>
        </w:rPr>
        <w:t>Executive Director, Clinical Development – GI Oncology</w:t>
      </w:r>
      <w:r w:rsidRPr="008B43AB">
        <w:rPr>
          <w:rFonts w:ascii="Times New Roman" w:eastAsia="Times New Roman" w:hAnsi="Times New Roman" w:cs="Times New Roman"/>
          <w:kern w:val="0"/>
          <w14:ligatures w14:val="none"/>
        </w:rPr>
        <w:br/>
      </w:r>
      <w:r w:rsidRPr="008B43AB">
        <w:rPr>
          <w:rFonts w:ascii="Times New Roman" w:eastAsia="Times New Roman" w:hAnsi="Times New Roman" w:cs="Times New Roman"/>
          <w:i/>
          <w:iCs/>
          <w:kern w:val="0"/>
          <w14:ligatures w14:val="none"/>
        </w:rPr>
        <w:t>Confidential Pharmaceuticals</w:t>
      </w:r>
      <w:r w:rsidRPr="008B43AB">
        <w:rPr>
          <w:rFonts w:ascii="Times New Roman" w:eastAsia="Times New Roman" w:hAnsi="Times New Roman" w:cs="Times New Roman"/>
          <w:kern w:val="0"/>
          <w14:ligatures w14:val="none"/>
        </w:rPr>
        <w:t xml:space="preserve"> (Big Pharma, GI Division)</w:t>
      </w:r>
      <w:r w:rsidRPr="008B43AB">
        <w:rPr>
          <w:rFonts w:ascii="Times New Roman" w:eastAsia="Times New Roman" w:hAnsi="Times New Roman" w:cs="Times New Roman"/>
          <w:kern w:val="0"/>
          <w14:ligatures w14:val="none"/>
        </w:rPr>
        <w:br/>
        <w:t>Remote (New York Hub) | January 2019 – Present</w:t>
      </w:r>
    </w:p>
    <w:p w14:paraId="08A194CF" w14:textId="77777777" w:rsidR="008B43AB" w:rsidRPr="008B43AB" w:rsidRDefault="008B43AB" w:rsidP="008B43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Directed global clinical strategy for late-stage hepatocellular carcinoma (HCC) program, achieving successful NDA submission and FDA approval (2023)</w:t>
      </w:r>
    </w:p>
    <w:p w14:paraId="39D68C8F" w14:textId="77777777" w:rsidR="008B43AB" w:rsidRPr="008B43AB" w:rsidRDefault="008B43AB" w:rsidP="008B43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Managed $45M clinical development budget across three Phase 3 trials enrolling 1,200+ patients in 15 countries</w:t>
      </w:r>
    </w:p>
    <w:p w14:paraId="76DB2F19" w14:textId="77777777" w:rsidR="008B43AB" w:rsidRPr="008B43AB" w:rsidRDefault="008B43AB" w:rsidP="008B43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Led cross-functional teams of 25+ members including Clinical Operations, Biometrics, Safety, Medical Affairs, and Regulatory</w:t>
      </w:r>
    </w:p>
    <w:p w14:paraId="51AADA87" w14:textId="77777777" w:rsidR="008B43AB" w:rsidRPr="008B43AB" w:rsidRDefault="008B43AB" w:rsidP="008B43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Established and maintained relationships with 60+ key opinion leaders in GI oncology, organizing advisory boards and investigator meetings</w:t>
      </w:r>
    </w:p>
    <w:p w14:paraId="228E3E0B" w14:textId="77777777" w:rsidR="008B43AB" w:rsidRPr="008B43AB" w:rsidRDefault="008B43AB" w:rsidP="008B43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Designed and executed risk mitigation strategies that reduced protocol deviations by 40%</w:t>
      </w:r>
    </w:p>
    <w:p w14:paraId="45EEED09" w14:textId="77777777" w:rsidR="008B43AB" w:rsidRPr="008B43AB" w:rsidRDefault="008B43AB" w:rsidP="008B43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Collaborated with Commercial and Medical Affairs on launch readiness activities</w:t>
      </w:r>
    </w:p>
    <w:p w14:paraId="7A083F38" w14:textId="77777777" w:rsidR="008B43AB" w:rsidRPr="008B43AB" w:rsidRDefault="008B43AB" w:rsidP="008B43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Published 8 peer-reviewed manuscripts and presented findings at major oncology conferences</w:t>
      </w:r>
    </w:p>
    <w:p w14:paraId="296E3617" w14:textId="77777777" w:rsidR="008B43AB" w:rsidRPr="008B43AB" w:rsidRDefault="008B43AB" w:rsidP="008B43AB">
      <w:p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b/>
          <w:bCs/>
          <w:kern w:val="0"/>
          <w14:ligatures w14:val="none"/>
        </w:rPr>
        <w:t>Senior Director, Global Clinical Development</w:t>
      </w:r>
      <w:r w:rsidRPr="008B43AB">
        <w:rPr>
          <w:rFonts w:ascii="Times New Roman" w:eastAsia="Times New Roman" w:hAnsi="Times New Roman" w:cs="Times New Roman"/>
          <w:kern w:val="0"/>
          <w14:ligatures w14:val="none"/>
        </w:rPr>
        <w:br/>
      </w:r>
      <w:r w:rsidRPr="008B43AB">
        <w:rPr>
          <w:rFonts w:ascii="Times New Roman" w:eastAsia="Times New Roman" w:hAnsi="Times New Roman" w:cs="Times New Roman"/>
          <w:i/>
          <w:iCs/>
          <w:kern w:val="0"/>
          <w14:ligatures w14:val="none"/>
        </w:rPr>
        <w:t>Confidential BioPharma</w:t>
      </w:r>
      <w:r w:rsidRPr="008B43AB">
        <w:rPr>
          <w:rFonts w:ascii="Times New Roman" w:eastAsia="Times New Roman" w:hAnsi="Times New Roman" w:cs="Times New Roman"/>
          <w:kern w:val="0"/>
          <w14:ligatures w14:val="none"/>
        </w:rPr>
        <w:t xml:space="preserve"> (Mid-size specialty pharma)</w:t>
      </w:r>
      <w:r w:rsidRPr="008B43AB">
        <w:rPr>
          <w:rFonts w:ascii="Times New Roman" w:eastAsia="Times New Roman" w:hAnsi="Times New Roman" w:cs="Times New Roman"/>
          <w:kern w:val="0"/>
          <w14:ligatures w14:val="none"/>
        </w:rPr>
        <w:br/>
        <w:t>San Francisco, CA | June 2015 – December 2018</w:t>
      </w:r>
    </w:p>
    <w:p w14:paraId="041DD5D1" w14:textId="77777777" w:rsidR="008B43AB" w:rsidRPr="008B43AB" w:rsidRDefault="008B43AB" w:rsidP="008B43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Led successful NDA submission and approval for novel colorectal cancer therapy (2017)</w:t>
      </w:r>
    </w:p>
    <w:p w14:paraId="07A07504" w14:textId="77777777" w:rsidR="008B43AB" w:rsidRPr="008B43AB" w:rsidRDefault="008B43AB" w:rsidP="008B43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Designed and oversaw Phase 2-3 clinical program including pivotal registrational trial</w:t>
      </w:r>
    </w:p>
    <w:p w14:paraId="31B5D5DF" w14:textId="77777777" w:rsidR="008B43AB" w:rsidRPr="008B43AB" w:rsidRDefault="008B43AB" w:rsidP="008B43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Managed global development team across 8 countries with seamless remote collaboration</w:t>
      </w:r>
    </w:p>
    <w:p w14:paraId="27DAA76D" w14:textId="77777777" w:rsidR="008B43AB" w:rsidRPr="008B43AB" w:rsidRDefault="008B43AB" w:rsidP="008B43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Interfaced with regulatory agencies (FDA, EMA, PMDA) for scientific advice and approval discussions</w:t>
      </w:r>
    </w:p>
    <w:p w14:paraId="0A55CB28" w14:textId="77777777" w:rsidR="008B43AB" w:rsidRPr="008B43AB" w:rsidRDefault="008B43AB" w:rsidP="008B43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Reduced study timelines by 6 months through optimized site selection and enrollment strategies</w:t>
      </w:r>
    </w:p>
    <w:p w14:paraId="185F66BF" w14:textId="77777777" w:rsidR="008B43AB" w:rsidRPr="008B43AB" w:rsidRDefault="008B43AB" w:rsidP="008B43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Mentored and developed team of 4 clinical scientists</w:t>
      </w:r>
    </w:p>
    <w:p w14:paraId="1EF55D1E" w14:textId="77777777" w:rsidR="008B43AB" w:rsidRPr="008B43AB" w:rsidRDefault="008B43AB" w:rsidP="008B43AB">
      <w:p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b/>
          <w:bCs/>
          <w:kern w:val="0"/>
          <w14:ligatures w14:val="none"/>
        </w:rPr>
        <w:t>Director, Clinical Development</w:t>
      </w:r>
      <w:r w:rsidRPr="008B43AB">
        <w:rPr>
          <w:rFonts w:ascii="Times New Roman" w:eastAsia="Times New Roman" w:hAnsi="Times New Roman" w:cs="Times New Roman"/>
          <w:kern w:val="0"/>
          <w14:ligatures w14:val="none"/>
        </w:rPr>
        <w:br/>
      </w:r>
      <w:r w:rsidRPr="008B43AB">
        <w:rPr>
          <w:rFonts w:ascii="Times New Roman" w:eastAsia="Times New Roman" w:hAnsi="Times New Roman" w:cs="Times New Roman"/>
          <w:i/>
          <w:iCs/>
          <w:kern w:val="0"/>
          <w14:ligatures w14:val="none"/>
        </w:rPr>
        <w:t>Confidential Therapeutics</w:t>
      </w:r>
      <w:r w:rsidRPr="008B43AB">
        <w:rPr>
          <w:rFonts w:ascii="Times New Roman" w:eastAsia="Times New Roman" w:hAnsi="Times New Roman" w:cs="Times New Roman"/>
          <w:kern w:val="0"/>
          <w14:ligatures w14:val="none"/>
        </w:rPr>
        <w:br/>
        <w:t>Boston, MA | March 2012 – May 2015</w:t>
      </w:r>
    </w:p>
    <w:p w14:paraId="4602166C" w14:textId="77777777" w:rsidR="008B43AB" w:rsidRPr="008B43AB" w:rsidRDefault="008B43AB" w:rsidP="008B43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Oversaw Phase 2 programs in pancreatic and gastric cancers</w:t>
      </w:r>
    </w:p>
    <w:p w14:paraId="592314DC" w14:textId="77777777" w:rsidR="008B43AB" w:rsidRPr="008B43AB" w:rsidRDefault="008B43AB" w:rsidP="008B43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Authored clinical development plans, study protocols, and regulatory documents</w:t>
      </w:r>
    </w:p>
    <w:p w14:paraId="31E41DC8" w14:textId="77777777" w:rsidR="008B43AB" w:rsidRPr="008B43AB" w:rsidRDefault="008B43AB" w:rsidP="008B43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Conducted medical monitoring and served as physician reviewer for safety assessments</w:t>
      </w:r>
    </w:p>
    <w:p w14:paraId="17573DAD" w14:textId="77777777" w:rsidR="008B43AB" w:rsidRPr="008B43AB" w:rsidRDefault="008B43AB" w:rsidP="008B43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Built investigator relationships at top NCI-designated cancer centers</w:t>
      </w:r>
    </w:p>
    <w:p w14:paraId="08E5DC49" w14:textId="77777777" w:rsidR="008B43AB" w:rsidRPr="008B43AB" w:rsidRDefault="005A18AA" w:rsidP="008B43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B8428D3">
          <v:rect id="_x0000_i1027" style="width:0;height:1.5pt" o:hralign="center" o:hrstd="t" o:hr="t" fillcolor="#a0a0a0" stroked="f"/>
        </w:pict>
      </w:r>
    </w:p>
    <w:p w14:paraId="7540861A" w14:textId="77777777" w:rsidR="008B43AB" w:rsidRPr="008B43AB" w:rsidRDefault="008B43AB" w:rsidP="008B43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43AB">
        <w:rPr>
          <w:rFonts w:ascii="Times New Roman" w:eastAsia="Times New Roman" w:hAnsi="Times New Roman" w:cs="Times New Roman"/>
          <w:b/>
          <w:bCs/>
          <w:kern w:val="0"/>
          <w:sz w:val="27"/>
          <w:szCs w:val="27"/>
          <w14:ligatures w14:val="none"/>
        </w:rPr>
        <w:t>EDUCATION</w:t>
      </w:r>
    </w:p>
    <w:p w14:paraId="47658C61" w14:textId="77777777" w:rsidR="008B43AB" w:rsidRPr="008B43AB" w:rsidRDefault="008B43AB" w:rsidP="008B43AB">
      <w:p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b/>
          <w:bCs/>
          <w:kern w:val="0"/>
          <w14:ligatures w14:val="none"/>
        </w:rPr>
        <w:t>Master of Business Administration (MBA)</w:t>
      </w:r>
      <w:r w:rsidRPr="008B43AB">
        <w:rPr>
          <w:rFonts w:ascii="Times New Roman" w:eastAsia="Times New Roman" w:hAnsi="Times New Roman" w:cs="Times New Roman"/>
          <w:kern w:val="0"/>
          <w14:ligatures w14:val="none"/>
        </w:rPr>
        <w:br/>
      </w:r>
      <w:r w:rsidRPr="008B43AB">
        <w:rPr>
          <w:rFonts w:ascii="Times New Roman" w:eastAsia="Times New Roman" w:hAnsi="Times New Roman" w:cs="Times New Roman"/>
          <w:i/>
          <w:iCs/>
          <w:kern w:val="0"/>
          <w14:ligatures w14:val="none"/>
        </w:rPr>
        <w:t>Confidential Business School</w:t>
      </w:r>
      <w:r w:rsidRPr="008B43AB">
        <w:rPr>
          <w:rFonts w:ascii="Times New Roman" w:eastAsia="Times New Roman" w:hAnsi="Times New Roman" w:cs="Times New Roman"/>
          <w:kern w:val="0"/>
          <w14:ligatures w14:val="none"/>
        </w:rPr>
        <w:t xml:space="preserve"> | Philadelphia, PA | 2014</w:t>
      </w:r>
    </w:p>
    <w:p w14:paraId="1DC745AC" w14:textId="77777777" w:rsidR="008B43AB" w:rsidRPr="008B43AB" w:rsidRDefault="008B43AB" w:rsidP="008B43AB">
      <w:p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b/>
          <w:bCs/>
          <w:kern w:val="0"/>
          <w14:ligatures w14:val="none"/>
        </w:rPr>
        <w:t>Doctor of Medicine (MD)</w:t>
      </w:r>
      <w:r w:rsidRPr="008B43AB">
        <w:rPr>
          <w:rFonts w:ascii="Times New Roman" w:eastAsia="Times New Roman" w:hAnsi="Times New Roman" w:cs="Times New Roman"/>
          <w:kern w:val="0"/>
          <w14:ligatures w14:val="none"/>
        </w:rPr>
        <w:br/>
      </w:r>
      <w:r w:rsidRPr="008B43AB">
        <w:rPr>
          <w:rFonts w:ascii="Times New Roman" w:eastAsia="Times New Roman" w:hAnsi="Times New Roman" w:cs="Times New Roman"/>
          <w:i/>
          <w:iCs/>
          <w:kern w:val="0"/>
          <w14:ligatures w14:val="none"/>
        </w:rPr>
        <w:t>Confidential University School of Medicine</w:t>
      </w:r>
      <w:r w:rsidRPr="008B43AB">
        <w:rPr>
          <w:rFonts w:ascii="Times New Roman" w:eastAsia="Times New Roman" w:hAnsi="Times New Roman" w:cs="Times New Roman"/>
          <w:kern w:val="0"/>
          <w14:ligatures w14:val="none"/>
        </w:rPr>
        <w:t xml:space="preserve"> | Baltimore, MD | 2009</w:t>
      </w:r>
    </w:p>
    <w:p w14:paraId="00C8A890" w14:textId="77777777" w:rsidR="008B43AB" w:rsidRPr="008B43AB" w:rsidRDefault="008B43AB" w:rsidP="008B43AB">
      <w:p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b/>
          <w:bCs/>
          <w:kern w:val="0"/>
          <w14:ligatures w14:val="none"/>
        </w:rPr>
        <w:t>Bachelor of Arts in Biochemistry</w:t>
      </w:r>
      <w:r w:rsidRPr="008B43AB">
        <w:rPr>
          <w:rFonts w:ascii="Times New Roman" w:eastAsia="Times New Roman" w:hAnsi="Times New Roman" w:cs="Times New Roman"/>
          <w:kern w:val="0"/>
          <w14:ligatures w14:val="none"/>
        </w:rPr>
        <w:br/>
      </w:r>
      <w:r w:rsidRPr="008B43AB">
        <w:rPr>
          <w:rFonts w:ascii="Times New Roman" w:eastAsia="Times New Roman" w:hAnsi="Times New Roman" w:cs="Times New Roman"/>
          <w:i/>
          <w:iCs/>
          <w:kern w:val="0"/>
          <w14:ligatures w14:val="none"/>
        </w:rPr>
        <w:t>Confidential College</w:t>
      </w:r>
      <w:r w:rsidRPr="008B43AB">
        <w:rPr>
          <w:rFonts w:ascii="Times New Roman" w:eastAsia="Times New Roman" w:hAnsi="Times New Roman" w:cs="Times New Roman"/>
          <w:kern w:val="0"/>
          <w14:ligatures w14:val="none"/>
        </w:rPr>
        <w:t xml:space="preserve"> | Cambridge, MA | 2005</w:t>
      </w:r>
    </w:p>
    <w:p w14:paraId="2CF73DF5" w14:textId="77777777" w:rsidR="008B43AB" w:rsidRPr="008B43AB" w:rsidRDefault="005A18AA" w:rsidP="008B43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1F0883">
          <v:rect id="_x0000_i1028" style="width:0;height:1.5pt" o:hralign="center" o:hrstd="t" o:hr="t" fillcolor="#a0a0a0" stroked="f"/>
        </w:pict>
      </w:r>
    </w:p>
    <w:p w14:paraId="2410A8D6" w14:textId="77777777" w:rsidR="008B43AB" w:rsidRPr="008B43AB" w:rsidRDefault="008B43AB" w:rsidP="008B43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43AB">
        <w:rPr>
          <w:rFonts w:ascii="Times New Roman" w:eastAsia="Times New Roman" w:hAnsi="Times New Roman" w:cs="Times New Roman"/>
          <w:b/>
          <w:bCs/>
          <w:kern w:val="0"/>
          <w:sz w:val="27"/>
          <w:szCs w:val="27"/>
          <w14:ligatures w14:val="none"/>
        </w:rPr>
        <w:t>CERTIFICATIONS &amp; TRAINING</w:t>
      </w:r>
    </w:p>
    <w:p w14:paraId="2E29EE00" w14:textId="77777777" w:rsidR="008B43AB" w:rsidRPr="008B43AB" w:rsidRDefault="008B43AB" w:rsidP="008B43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Board Certified in Internal Medicine (2012)</w:t>
      </w:r>
    </w:p>
    <w:p w14:paraId="199C4670" w14:textId="77777777" w:rsidR="008B43AB" w:rsidRPr="008B43AB" w:rsidRDefault="008B43AB" w:rsidP="008B43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Good Clinical Practice (GCP) – Current</w:t>
      </w:r>
    </w:p>
    <w:p w14:paraId="1B46FD03" w14:textId="77777777" w:rsidR="008B43AB" w:rsidRPr="008B43AB" w:rsidRDefault="008B43AB" w:rsidP="008B43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FDA Regulatory Affairs Certification (RAC) – 2016</w:t>
      </w:r>
    </w:p>
    <w:p w14:paraId="0D650E68" w14:textId="77777777" w:rsidR="008B43AB" w:rsidRPr="008B43AB" w:rsidRDefault="008B43AB" w:rsidP="008B43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Clinical Trial Management Professional – 2013</w:t>
      </w:r>
    </w:p>
    <w:p w14:paraId="78E67159" w14:textId="77777777" w:rsidR="008B43AB" w:rsidRPr="008B43AB" w:rsidRDefault="005A18AA" w:rsidP="008B43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96459B">
          <v:rect id="_x0000_i1029" style="width:0;height:1.5pt" o:hralign="center" o:hrstd="t" o:hr="t" fillcolor="#a0a0a0" stroked="f"/>
        </w:pict>
      </w:r>
    </w:p>
    <w:p w14:paraId="3B97696B" w14:textId="77777777" w:rsidR="008B43AB" w:rsidRPr="008B43AB" w:rsidRDefault="008B43AB" w:rsidP="008B43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43AB">
        <w:rPr>
          <w:rFonts w:ascii="Times New Roman" w:eastAsia="Times New Roman" w:hAnsi="Times New Roman" w:cs="Times New Roman"/>
          <w:b/>
          <w:bCs/>
          <w:kern w:val="0"/>
          <w:sz w:val="27"/>
          <w:szCs w:val="27"/>
          <w14:ligatures w14:val="none"/>
        </w:rPr>
        <w:t>SELECTED PUBLICATIONS &amp; PRESENTATIONS</w:t>
      </w:r>
    </w:p>
    <w:p w14:paraId="3AB3F654" w14:textId="77777777" w:rsidR="008B43AB" w:rsidRPr="008B43AB" w:rsidRDefault="008B43AB" w:rsidP="008B43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 xml:space="preserve">First Author, "Phase 3 Results of Regorafenib in Advanced HCC" – </w:t>
      </w:r>
      <w:r w:rsidRPr="008B43AB">
        <w:rPr>
          <w:rFonts w:ascii="Times New Roman" w:eastAsia="Times New Roman" w:hAnsi="Times New Roman" w:cs="Times New Roman"/>
          <w:i/>
          <w:iCs/>
          <w:kern w:val="0"/>
          <w14:ligatures w14:val="none"/>
        </w:rPr>
        <w:t>New England Journal of Medicine</w:t>
      </w:r>
      <w:r w:rsidRPr="008B43AB">
        <w:rPr>
          <w:rFonts w:ascii="Times New Roman" w:eastAsia="Times New Roman" w:hAnsi="Times New Roman" w:cs="Times New Roman"/>
          <w:kern w:val="0"/>
          <w14:ligatures w14:val="none"/>
        </w:rPr>
        <w:t xml:space="preserve"> (2023)</w:t>
      </w:r>
    </w:p>
    <w:p w14:paraId="24FDC0CB" w14:textId="77777777" w:rsidR="008B43AB" w:rsidRPr="008B43AB" w:rsidRDefault="008B43AB" w:rsidP="008B43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 xml:space="preserve">Co-author, "Global Regulatory Strategy for Accelerated Oncology Approvals" – </w:t>
      </w:r>
      <w:r w:rsidRPr="008B43AB">
        <w:rPr>
          <w:rFonts w:ascii="Times New Roman" w:eastAsia="Times New Roman" w:hAnsi="Times New Roman" w:cs="Times New Roman"/>
          <w:i/>
          <w:iCs/>
          <w:kern w:val="0"/>
          <w14:ligatures w14:val="none"/>
        </w:rPr>
        <w:t>Clinical Cancer Research</w:t>
      </w:r>
      <w:r w:rsidRPr="008B43AB">
        <w:rPr>
          <w:rFonts w:ascii="Times New Roman" w:eastAsia="Times New Roman" w:hAnsi="Times New Roman" w:cs="Times New Roman"/>
          <w:kern w:val="0"/>
          <w14:ligatures w14:val="none"/>
        </w:rPr>
        <w:t xml:space="preserve"> (2021)</w:t>
      </w:r>
    </w:p>
    <w:p w14:paraId="35DA0224" w14:textId="77777777" w:rsidR="008B43AB" w:rsidRPr="008B43AB" w:rsidRDefault="008B43AB" w:rsidP="008B43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Oral Presentation, "Navigating FDA Oncology Guidance" – ASCO Annual Meeting (2022)</w:t>
      </w:r>
    </w:p>
    <w:p w14:paraId="0790E31E" w14:textId="77777777" w:rsidR="008B43AB" w:rsidRPr="008B43AB" w:rsidRDefault="005A18AA" w:rsidP="008B43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F9381B">
          <v:rect id="_x0000_i1030" style="width:0;height:1.5pt" o:hralign="center" o:hrstd="t" o:hr="t" fillcolor="#a0a0a0" stroked="f"/>
        </w:pict>
      </w:r>
    </w:p>
    <w:p w14:paraId="5C65A6AD" w14:textId="77777777" w:rsidR="008B43AB" w:rsidRPr="008B43AB" w:rsidRDefault="008B43AB" w:rsidP="008B43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43AB">
        <w:rPr>
          <w:rFonts w:ascii="Times New Roman" w:eastAsia="Times New Roman" w:hAnsi="Times New Roman" w:cs="Times New Roman"/>
          <w:b/>
          <w:bCs/>
          <w:kern w:val="0"/>
          <w:sz w:val="27"/>
          <w:szCs w:val="27"/>
          <w14:ligatures w14:val="none"/>
        </w:rPr>
        <w:t>PROFESSIONAL AFFILIATIONS</w:t>
      </w:r>
    </w:p>
    <w:p w14:paraId="42B81E34" w14:textId="77777777" w:rsidR="008B43AB" w:rsidRPr="008B43AB" w:rsidRDefault="008B43AB" w:rsidP="008B43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American Society of Clinical Oncology (ASCO) – Member since 2011</w:t>
      </w:r>
    </w:p>
    <w:p w14:paraId="2C6B8530" w14:textId="77777777" w:rsidR="008B43AB" w:rsidRPr="008B43AB" w:rsidRDefault="008B43AB" w:rsidP="008B43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American Association for Cancer Research (AACR) – Member since 2010</w:t>
      </w:r>
    </w:p>
    <w:p w14:paraId="33E1432D" w14:textId="77777777" w:rsidR="008B43AB" w:rsidRPr="008B43AB" w:rsidRDefault="005A18AA" w:rsidP="008B43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A33C3">
          <v:rect id="_x0000_i1031" style="width:0;height:1.5pt" o:hralign="center" o:hrstd="t" o:hr="t" fillcolor="#a0a0a0" stroked="f"/>
        </w:pict>
      </w:r>
    </w:p>
    <w:p w14:paraId="63DAECCA" w14:textId="77777777" w:rsidR="008B43AB" w:rsidRPr="008B43AB" w:rsidRDefault="008B43AB" w:rsidP="008B43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43AB">
        <w:rPr>
          <w:rFonts w:ascii="Times New Roman" w:eastAsia="Times New Roman" w:hAnsi="Times New Roman" w:cs="Times New Roman"/>
          <w:b/>
          <w:bCs/>
          <w:kern w:val="0"/>
          <w:sz w:val="27"/>
          <w:szCs w:val="27"/>
          <w14:ligatures w14:val="none"/>
        </w:rPr>
        <w:t>KEY COMPETENCIES</w:t>
      </w:r>
    </w:p>
    <w:p w14:paraId="60BADA3F" w14:textId="77777777" w:rsidR="008B43AB" w:rsidRPr="008B43AB" w:rsidRDefault="008B43AB" w:rsidP="008B43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Phase 2-4 Global Trial Execution</w:t>
      </w:r>
    </w:p>
    <w:p w14:paraId="7B538D0F" w14:textId="77777777" w:rsidR="008B43AB" w:rsidRPr="008B43AB" w:rsidRDefault="008B43AB" w:rsidP="008B43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NDA/BLA Regulatory Submissions &amp; Approvals</w:t>
      </w:r>
    </w:p>
    <w:p w14:paraId="4F57610C" w14:textId="77777777" w:rsidR="008B43AB" w:rsidRPr="008B43AB" w:rsidRDefault="008B43AB" w:rsidP="008B43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Strategic KOL Engagement &amp; Advisory Boards</w:t>
      </w:r>
    </w:p>
    <w:p w14:paraId="6632F913" w14:textId="77777777" w:rsidR="008B43AB" w:rsidRPr="008B43AB" w:rsidRDefault="008B43AB" w:rsidP="008B43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Cross-Functional Leadership (25+ person teams)</w:t>
      </w:r>
    </w:p>
    <w:p w14:paraId="4C8A4770" w14:textId="77777777" w:rsidR="008B43AB" w:rsidRPr="008B43AB" w:rsidRDefault="008B43AB" w:rsidP="008B43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Budget Management ($40M+ programs)</w:t>
      </w:r>
    </w:p>
    <w:p w14:paraId="6FE35EFD" w14:textId="77777777" w:rsidR="008B43AB" w:rsidRPr="008B43AB" w:rsidRDefault="008B43AB" w:rsidP="008B43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FDA/EMA/PMDA Regulatory Interactions</w:t>
      </w:r>
    </w:p>
    <w:p w14:paraId="00BFFECF" w14:textId="77777777" w:rsidR="008B43AB" w:rsidRPr="008B43AB" w:rsidRDefault="008B43AB" w:rsidP="008B43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Launch Readiness &amp; Commercialization Support</w:t>
      </w:r>
    </w:p>
    <w:p w14:paraId="609EF814" w14:textId="77777777" w:rsidR="008B43AB" w:rsidRPr="008B43AB" w:rsidRDefault="008B43AB" w:rsidP="008B43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t>Distributed Team Leadership</w:t>
      </w:r>
    </w:p>
    <w:p w14:paraId="4DA00FE7" w14:textId="77777777" w:rsidR="008B43AB" w:rsidRPr="008B43AB" w:rsidRDefault="008B43AB" w:rsidP="008B43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43AB">
        <w:rPr>
          <w:rFonts w:ascii="Times New Roman" w:eastAsia="Times New Roman" w:hAnsi="Times New Roman" w:cs="Times New Roman"/>
          <w:kern w:val="0"/>
          <w14:ligatures w14:val="none"/>
        </w:rPr>
        <w:lastRenderedPageBreak/>
        <w:t>Risk Mitigation &amp; Quality Oversight</w:t>
      </w:r>
    </w:p>
    <w:p w14:paraId="718AA90D" w14:textId="77777777" w:rsidR="00F90CB3" w:rsidRDefault="00F90CB3"/>
    <w:sectPr w:rsidR="00F90CB3" w:rsidSect="008B43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FEB"/>
    <w:multiLevelType w:val="multilevel"/>
    <w:tmpl w:val="625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0941"/>
    <w:multiLevelType w:val="multilevel"/>
    <w:tmpl w:val="5DC8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811BD"/>
    <w:multiLevelType w:val="multilevel"/>
    <w:tmpl w:val="561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43827"/>
    <w:multiLevelType w:val="multilevel"/>
    <w:tmpl w:val="F7B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60AED"/>
    <w:multiLevelType w:val="multilevel"/>
    <w:tmpl w:val="8BA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A73B6"/>
    <w:multiLevelType w:val="multilevel"/>
    <w:tmpl w:val="A3E2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F5EDE"/>
    <w:multiLevelType w:val="multilevel"/>
    <w:tmpl w:val="8508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16333">
    <w:abstractNumId w:val="5"/>
  </w:num>
  <w:num w:numId="2" w16cid:durableId="2021465133">
    <w:abstractNumId w:val="1"/>
  </w:num>
  <w:num w:numId="3" w16cid:durableId="214899572">
    <w:abstractNumId w:val="3"/>
  </w:num>
  <w:num w:numId="4" w16cid:durableId="1364288588">
    <w:abstractNumId w:val="4"/>
  </w:num>
  <w:num w:numId="5" w16cid:durableId="258947873">
    <w:abstractNumId w:val="0"/>
  </w:num>
  <w:num w:numId="6" w16cid:durableId="244926457">
    <w:abstractNumId w:val="2"/>
  </w:num>
  <w:num w:numId="7" w16cid:durableId="700131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3AB"/>
    <w:rsid w:val="000441B2"/>
    <w:rsid w:val="005D7DE4"/>
    <w:rsid w:val="007218A2"/>
    <w:rsid w:val="00801453"/>
    <w:rsid w:val="008B43AB"/>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AAC7050"/>
  <w15:chartTrackingRefBased/>
  <w15:docId w15:val="{7DAEA27D-D88C-4FF2-8392-2D126BD8F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3AB"/>
    <w:rPr>
      <w:rFonts w:eastAsiaTheme="majorEastAsia" w:cstheme="majorBidi"/>
      <w:color w:val="272727" w:themeColor="text1" w:themeTint="D8"/>
    </w:rPr>
  </w:style>
  <w:style w:type="paragraph" w:styleId="Title">
    <w:name w:val="Title"/>
    <w:basedOn w:val="Normal"/>
    <w:next w:val="Normal"/>
    <w:link w:val="TitleChar"/>
    <w:uiPriority w:val="10"/>
    <w:qFormat/>
    <w:rsid w:val="008B4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3AB"/>
    <w:pPr>
      <w:spacing w:before="160"/>
      <w:jc w:val="center"/>
    </w:pPr>
    <w:rPr>
      <w:i/>
      <w:iCs/>
      <w:color w:val="404040" w:themeColor="text1" w:themeTint="BF"/>
    </w:rPr>
  </w:style>
  <w:style w:type="character" w:customStyle="1" w:styleId="QuoteChar">
    <w:name w:val="Quote Char"/>
    <w:basedOn w:val="DefaultParagraphFont"/>
    <w:link w:val="Quote"/>
    <w:uiPriority w:val="29"/>
    <w:rsid w:val="008B43AB"/>
    <w:rPr>
      <w:i/>
      <w:iCs/>
      <w:color w:val="404040" w:themeColor="text1" w:themeTint="BF"/>
    </w:rPr>
  </w:style>
  <w:style w:type="paragraph" w:styleId="ListParagraph">
    <w:name w:val="List Paragraph"/>
    <w:basedOn w:val="Normal"/>
    <w:uiPriority w:val="34"/>
    <w:qFormat/>
    <w:rsid w:val="008B43AB"/>
    <w:pPr>
      <w:ind w:left="720"/>
      <w:contextualSpacing/>
    </w:pPr>
  </w:style>
  <w:style w:type="character" w:styleId="IntenseEmphasis">
    <w:name w:val="Intense Emphasis"/>
    <w:basedOn w:val="DefaultParagraphFont"/>
    <w:uiPriority w:val="21"/>
    <w:qFormat/>
    <w:rsid w:val="008B43AB"/>
    <w:rPr>
      <w:i/>
      <w:iCs/>
      <w:color w:val="0F4761" w:themeColor="accent1" w:themeShade="BF"/>
    </w:rPr>
  </w:style>
  <w:style w:type="paragraph" w:styleId="IntenseQuote">
    <w:name w:val="Intense Quote"/>
    <w:basedOn w:val="Normal"/>
    <w:next w:val="Normal"/>
    <w:link w:val="IntenseQuoteChar"/>
    <w:uiPriority w:val="30"/>
    <w:qFormat/>
    <w:rsid w:val="008B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3AB"/>
    <w:rPr>
      <w:i/>
      <w:iCs/>
      <w:color w:val="0F4761" w:themeColor="accent1" w:themeShade="BF"/>
    </w:rPr>
  </w:style>
  <w:style w:type="character" w:styleId="IntenseReference">
    <w:name w:val="Intense Reference"/>
    <w:basedOn w:val="DefaultParagraphFont"/>
    <w:uiPriority w:val="32"/>
    <w:qFormat/>
    <w:rsid w:val="008B43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26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2025-10-08T14:25:00Z</dcterms:created>
  <dcterms:modified xsi:type="dcterms:W3CDTF">2025-10-08T14:25:00Z</dcterms:modified>
</cp:coreProperties>
</file>