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297E0" w14:textId="323491E7" w:rsidR="00AE4827" w:rsidRPr="00AE4827" w:rsidRDefault="00AE4827" w:rsidP="00AE482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CONFIDENTIAL </w:t>
      </w:r>
      <w:r w:rsidRPr="00AE48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CANDIDATE</w:t>
      </w:r>
    </w:p>
    <w:p w14:paraId="71793906" w14:textId="1A3EFCB8" w:rsidR="00AE4827" w:rsidRPr="00AE4827" w:rsidRDefault="00AE4827" w:rsidP="00AE482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AE4827">
        <w:rPr>
          <w:rFonts w:ascii="Times New Roman" w:eastAsia="Times New Roman" w:hAnsi="Times New Roman" w:cs="Times New Roman"/>
          <w:kern w:val="0"/>
          <w14:ligatures w14:val="none"/>
        </w:rPr>
        <w:t>NYC Metro Area</w:t>
      </w:r>
      <w:r w:rsidRPr="00AE4827">
        <w:rPr>
          <w:rFonts w:ascii="Times New Roman" w:eastAsia="Times New Roman" w:hAnsi="Times New Roman" w:cs="Times New Roman"/>
          <w:kern w:val="0"/>
          <w14:ligatures w14:val="none"/>
        </w:rPr>
        <w:br/>
        <w:t>Senior Drug Safety &amp; Pharmacovigilance Physician</w:t>
      </w:r>
      <w:r w:rsidRPr="00AE4827">
        <w:rPr>
          <w:rFonts w:ascii="Times New Roman" w:eastAsia="Times New Roman" w:hAnsi="Times New Roman" w:cs="Times New Roman"/>
          <w:kern w:val="0"/>
          <w14:ligatures w14:val="none"/>
        </w:rPr>
        <w:br/>
        <w:t>Open to Princeton, NJ | $420K Target Compensation</w:t>
      </w:r>
    </w:p>
    <w:p w14:paraId="6ADEFADE" w14:textId="77777777" w:rsidR="00AE4827" w:rsidRPr="00AE4827" w:rsidRDefault="00AE4827" w:rsidP="00AE48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827">
        <w:rPr>
          <w:rFonts w:ascii="Times New Roman" w:eastAsia="Times New Roman" w:hAnsi="Times New Roman" w:cs="Times New Roman"/>
          <w:kern w:val="0"/>
          <w14:ligatures w14:val="none"/>
        </w:rPr>
        <w:pict w14:anchorId="5446B030">
          <v:rect id="_x0000_i1025" style="width:0;height:1.5pt" o:hralign="center" o:hrstd="t" o:hr="t" fillcolor="#a0a0a0" stroked="f"/>
        </w:pict>
      </w:r>
    </w:p>
    <w:p w14:paraId="074B070B" w14:textId="77777777" w:rsidR="00AE4827" w:rsidRPr="00AE4827" w:rsidRDefault="00AE4827" w:rsidP="00AE48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48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PROFESSIONAL SUMMARY</w:t>
      </w:r>
    </w:p>
    <w:p w14:paraId="6459F627" w14:textId="77777777" w:rsidR="00AE4827" w:rsidRPr="00AE4827" w:rsidRDefault="00AE4827" w:rsidP="00AE4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827">
        <w:rPr>
          <w:rFonts w:ascii="Times New Roman" w:eastAsia="Times New Roman" w:hAnsi="Times New Roman" w:cs="Times New Roman"/>
          <w:kern w:val="0"/>
          <w14:ligatures w14:val="none"/>
        </w:rPr>
        <w:t>Board-certified physician with 17+ years of progressive drug safety and pharmacovigilance experience in oncology therapeutics. Proven track record leading cross-functional safety teams through successful BLA submissions and building robust PV programs from early development through post-marketing. Deep expertise in global pharmacovigilance strategy, regulatory submissions, and FDA interactions. Currently seeking VP-level opportunity with $420K compensation in Princeton, NJ area.</w:t>
      </w:r>
    </w:p>
    <w:p w14:paraId="6A45291B" w14:textId="77777777" w:rsidR="00AE4827" w:rsidRPr="00AE4827" w:rsidRDefault="00AE4827" w:rsidP="00AE48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827">
        <w:rPr>
          <w:rFonts w:ascii="Times New Roman" w:eastAsia="Times New Roman" w:hAnsi="Times New Roman" w:cs="Times New Roman"/>
          <w:kern w:val="0"/>
          <w14:ligatures w14:val="none"/>
        </w:rPr>
        <w:pict w14:anchorId="36E20A1D">
          <v:rect id="_x0000_i1026" style="width:0;height:1.5pt" o:hralign="center" o:hrstd="t" o:hr="t" fillcolor="#a0a0a0" stroked="f"/>
        </w:pict>
      </w:r>
    </w:p>
    <w:p w14:paraId="7A46E312" w14:textId="77777777" w:rsidR="00AE4827" w:rsidRPr="00AE4827" w:rsidRDefault="00AE4827" w:rsidP="00AE48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48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EXPERIENCE</w:t>
      </w:r>
    </w:p>
    <w:p w14:paraId="0C8229D2" w14:textId="05218886" w:rsidR="00AE4827" w:rsidRPr="00AE4827" w:rsidRDefault="00AE4827" w:rsidP="00AE4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8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BC</w:t>
      </w:r>
      <w:r w:rsidRPr="00AE48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THERAPEUTICS</w:t>
      </w:r>
      <w:r w:rsidRPr="00AE4827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AE482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Senior Director, Drug Safety &amp; Pharmacovigilance</w:t>
      </w:r>
      <w:r w:rsidRPr="00AE4827">
        <w:rPr>
          <w:rFonts w:ascii="Times New Roman" w:eastAsia="Times New Roman" w:hAnsi="Times New Roman" w:cs="Times New Roman"/>
          <w:kern w:val="0"/>
          <w14:ligatures w14:val="none"/>
        </w:rPr>
        <w:t xml:space="preserve"> | 2019 – Present</w:t>
      </w:r>
      <w:r w:rsidRPr="00AE482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482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New York, NY</w:t>
      </w:r>
    </w:p>
    <w:p w14:paraId="788B0F90" w14:textId="77777777" w:rsidR="00AE4827" w:rsidRPr="00AE4827" w:rsidRDefault="00AE4827" w:rsidP="00AE48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827">
        <w:rPr>
          <w:rFonts w:ascii="Times New Roman" w:eastAsia="Times New Roman" w:hAnsi="Times New Roman" w:cs="Times New Roman"/>
          <w:kern w:val="0"/>
          <w14:ligatures w14:val="none"/>
        </w:rPr>
        <w:t>Lead comprehensive global safety strategy for 4 investigational oncology compounds with combined market potential &gt;$2B, establishing safety oversight protocols from IND through commercial launch</w:t>
      </w:r>
    </w:p>
    <w:p w14:paraId="09E102F3" w14:textId="77777777" w:rsidR="00AE4827" w:rsidRPr="00AE4827" w:rsidRDefault="00AE4827" w:rsidP="00AE48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827">
        <w:rPr>
          <w:rFonts w:ascii="Times New Roman" w:eastAsia="Times New Roman" w:hAnsi="Times New Roman" w:cs="Times New Roman"/>
          <w:kern w:val="0"/>
          <w14:ligatures w14:val="none"/>
        </w:rPr>
        <w:t>Successfully guided 2 BLA submissions through FDA approval process, including novel antibody therapeutic for multiple myeloma, coordinating safety data packages and regulatory responses across multidisciplinary teams</w:t>
      </w:r>
    </w:p>
    <w:p w14:paraId="183ACCAB" w14:textId="77777777" w:rsidR="00AE4827" w:rsidRPr="00AE4827" w:rsidRDefault="00AE4827" w:rsidP="00AE48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827">
        <w:rPr>
          <w:rFonts w:ascii="Times New Roman" w:eastAsia="Times New Roman" w:hAnsi="Times New Roman" w:cs="Times New Roman"/>
          <w:kern w:val="0"/>
          <w14:ligatures w14:val="none"/>
        </w:rPr>
        <w:t>Implemented ARGUS safety database infrastructure across 15 global sites, reducing adverse event processing time by 35% while ensuring compliance with international pharmacovigilance standards</w:t>
      </w:r>
    </w:p>
    <w:p w14:paraId="22CA6BED" w14:textId="77777777" w:rsidR="00AE4827" w:rsidRPr="00AE4827" w:rsidRDefault="00AE4827" w:rsidP="00AE48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827">
        <w:rPr>
          <w:rFonts w:ascii="Times New Roman" w:eastAsia="Times New Roman" w:hAnsi="Times New Roman" w:cs="Times New Roman"/>
          <w:kern w:val="0"/>
          <w14:ligatures w14:val="none"/>
        </w:rPr>
        <w:t xml:space="preserve">Built, mentored, and managed </w:t>
      </w:r>
      <w:proofErr w:type="gramStart"/>
      <w:r w:rsidRPr="00AE4827">
        <w:rPr>
          <w:rFonts w:ascii="Times New Roman" w:eastAsia="Times New Roman" w:hAnsi="Times New Roman" w:cs="Times New Roman"/>
          <w:kern w:val="0"/>
          <w14:ligatures w14:val="none"/>
        </w:rPr>
        <w:t>cross</w:t>
      </w:r>
      <w:proofErr w:type="gramEnd"/>
      <w:r w:rsidRPr="00AE4827">
        <w:rPr>
          <w:rFonts w:ascii="Times New Roman" w:eastAsia="Times New Roman" w:hAnsi="Times New Roman" w:cs="Times New Roman"/>
          <w:kern w:val="0"/>
          <w14:ligatures w14:val="none"/>
        </w:rPr>
        <w:t>-functional safety team of 12 physicians and scientists across US and EU operations, establishing training programs and career development pathways</w:t>
      </w:r>
    </w:p>
    <w:p w14:paraId="4A9B3897" w14:textId="77777777" w:rsidR="00AE4827" w:rsidRPr="00AE4827" w:rsidRDefault="00AE4827" w:rsidP="00AE48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827">
        <w:rPr>
          <w:rFonts w:ascii="Times New Roman" w:eastAsia="Times New Roman" w:hAnsi="Times New Roman" w:cs="Times New Roman"/>
          <w:kern w:val="0"/>
          <w14:ligatures w14:val="none"/>
        </w:rPr>
        <w:t>Managed complex regulatory authority relationships including FDA Type C meetings, EMA scientific advice procedures, and Health Canada consultations, ensuring alignment on safety assessment strategies</w:t>
      </w:r>
    </w:p>
    <w:p w14:paraId="3FD6DC5C" w14:textId="77777777" w:rsidR="00AE4827" w:rsidRPr="00AE4827" w:rsidRDefault="00AE4827" w:rsidP="00AE48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827">
        <w:rPr>
          <w:rFonts w:ascii="Times New Roman" w:eastAsia="Times New Roman" w:hAnsi="Times New Roman" w:cs="Times New Roman"/>
          <w:kern w:val="0"/>
          <w14:ligatures w14:val="none"/>
        </w:rPr>
        <w:t>Developed and executed benefit-risk evaluation frameworks for novel antibody therapeutics, supporting regulatory decision-making and risk management planning</w:t>
      </w:r>
    </w:p>
    <w:p w14:paraId="30D097A7" w14:textId="77777777" w:rsidR="00AE4827" w:rsidRPr="00AE4827" w:rsidRDefault="00AE4827" w:rsidP="00AE48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827">
        <w:rPr>
          <w:rFonts w:ascii="Times New Roman" w:eastAsia="Times New Roman" w:hAnsi="Times New Roman" w:cs="Times New Roman"/>
          <w:kern w:val="0"/>
          <w14:ligatures w14:val="none"/>
        </w:rPr>
        <w:t>Established signal detection protocols and safety monitoring procedures for early development through post-marketing surveillance phases</w:t>
      </w:r>
    </w:p>
    <w:p w14:paraId="4D56C087" w14:textId="77777777" w:rsidR="00AE4827" w:rsidRPr="00AE4827" w:rsidRDefault="00AE4827" w:rsidP="00AE48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827">
        <w:rPr>
          <w:rFonts w:ascii="Times New Roman" w:eastAsia="Times New Roman" w:hAnsi="Times New Roman" w:cs="Times New Roman"/>
          <w:kern w:val="0"/>
          <w14:ligatures w14:val="none"/>
        </w:rPr>
        <w:t>Led preparation of aggregate safety reports including PSURs, DSURs, and safety updates, ensuring timely submission and regulatory compliance across global markets</w:t>
      </w:r>
    </w:p>
    <w:p w14:paraId="1424D33D" w14:textId="29A49A32" w:rsidR="00AE4827" w:rsidRPr="00AE4827" w:rsidRDefault="00AE4827" w:rsidP="00AE4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8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BC </w:t>
      </w:r>
      <w:r w:rsidRPr="00AE48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THERAPEUTICS</w:t>
      </w:r>
      <w:r w:rsidRPr="00AE4827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AE482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Associate Director, Drug Safety</w:t>
      </w:r>
      <w:r w:rsidRPr="00AE4827">
        <w:rPr>
          <w:rFonts w:ascii="Times New Roman" w:eastAsia="Times New Roman" w:hAnsi="Times New Roman" w:cs="Times New Roman"/>
          <w:kern w:val="0"/>
          <w14:ligatures w14:val="none"/>
        </w:rPr>
        <w:t xml:space="preserve"> | 2016 – 2019</w:t>
      </w:r>
      <w:r w:rsidRPr="00AE482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482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New York, NY</w:t>
      </w:r>
    </w:p>
    <w:p w14:paraId="63C8769E" w14:textId="77777777" w:rsidR="00AE4827" w:rsidRPr="00AE4827" w:rsidRDefault="00AE4827" w:rsidP="00AE48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827">
        <w:rPr>
          <w:rFonts w:ascii="Times New Roman" w:eastAsia="Times New Roman" w:hAnsi="Times New Roman" w:cs="Times New Roman"/>
          <w:kern w:val="0"/>
          <w14:ligatures w14:val="none"/>
        </w:rPr>
        <w:t>Developed comprehensive signal detection protocols and safety surveillance systems resulting in 40% improvement in safety signal identification timelines and enhanced patient safety monitoring</w:t>
      </w:r>
    </w:p>
    <w:p w14:paraId="1C7B72BA" w14:textId="77777777" w:rsidR="00AE4827" w:rsidRPr="00AE4827" w:rsidRDefault="00AE4827" w:rsidP="00AE48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827">
        <w:rPr>
          <w:rFonts w:ascii="Times New Roman" w:eastAsia="Times New Roman" w:hAnsi="Times New Roman" w:cs="Times New Roman"/>
          <w:kern w:val="0"/>
          <w14:ligatures w14:val="none"/>
        </w:rPr>
        <w:t>Led detailed benefit-risk assessment initiatives for 3 Phase III oncology programs, providing critical safety analysis that supported successful regulatory filings and market approval strategies</w:t>
      </w:r>
    </w:p>
    <w:p w14:paraId="46ED0F8E" w14:textId="77777777" w:rsidR="00AE4827" w:rsidRPr="00AE4827" w:rsidRDefault="00AE4827" w:rsidP="00AE48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827">
        <w:rPr>
          <w:rFonts w:ascii="Times New Roman" w:eastAsia="Times New Roman" w:hAnsi="Times New Roman" w:cs="Times New Roman"/>
          <w:kern w:val="0"/>
          <w14:ligatures w14:val="none"/>
        </w:rPr>
        <w:t>Established robust PV program infrastructure specifically designed for novel antibody therapeutics platform, creating standardized operating procedures and quality management systems</w:t>
      </w:r>
    </w:p>
    <w:p w14:paraId="0F7A8717" w14:textId="77777777" w:rsidR="00AE4827" w:rsidRPr="00AE4827" w:rsidRDefault="00AE4827" w:rsidP="00AE48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8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Collaborated extensively with Medical Affairs teams on safety communication strategies for healthcare providers, developing educational materials and risk management tools</w:t>
      </w:r>
    </w:p>
    <w:p w14:paraId="6A9D424A" w14:textId="77777777" w:rsidR="00AE4827" w:rsidRPr="00AE4827" w:rsidRDefault="00AE4827" w:rsidP="00AE48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827">
        <w:rPr>
          <w:rFonts w:ascii="Times New Roman" w:eastAsia="Times New Roman" w:hAnsi="Times New Roman" w:cs="Times New Roman"/>
          <w:kern w:val="0"/>
          <w14:ligatures w14:val="none"/>
        </w:rPr>
        <w:t>Managed individual case safety report processing and medical review functions, ensuring accurate assessment of adverse events and timely regulatory reporting</w:t>
      </w:r>
    </w:p>
    <w:p w14:paraId="2E04EEEB" w14:textId="77777777" w:rsidR="00AE4827" w:rsidRPr="00AE4827" w:rsidRDefault="00AE4827" w:rsidP="00AE48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827">
        <w:rPr>
          <w:rFonts w:ascii="Times New Roman" w:eastAsia="Times New Roman" w:hAnsi="Times New Roman" w:cs="Times New Roman"/>
          <w:kern w:val="0"/>
          <w14:ligatures w14:val="none"/>
        </w:rPr>
        <w:t>Coordinated safety data review processes for clinical study reports and regulatory submissions, providing medical oversight for safety sections and risk evaluation</w:t>
      </w:r>
    </w:p>
    <w:p w14:paraId="0E4E85A4" w14:textId="77777777" w:rsidR="00AE4827" w:rsidRPr="00AE4827" w:rsidRDefault="00AE4827" w:rsidP="00AE48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827">
        <w:rPr>
          <w:rFonts w:ascii="Times New Roman" w:eastAsia="Times New Roman" w:hAnsi="Times New Roman" w:cs="Times New Roman"/>
          <w:kern w:val="0"/>
          <w14:ligatures w14:val="none"/>
        </w:rPr>
        <w:t>Implemented MedDRA coding standards and WHO Drug dictionary protocols across clinical operations, training team members on proper adverse event classification and reporting procedures</w:t>
      </w:r>
    </w:p>
    <w:p w14:paraId="75699700" w14:textId="77777777" w:rsidR="00AE4827" w:rsidRPr="00AE4827" w:rsidRDefault="00AE4827" w:rsidP="00AE48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827">
        <w:rPr>
          <w:rFonts w:ascii="Times New Roman" w:eastAsia="Times New Roman" w:hAnsi="Times New Roman" w:cs="Times New Roman"/>
          <w:kern w:val="0"/>
          <w14:ligatures w14:val="none"/>
        </w:rPr>
        <w:t>Supported regulatory inspections and audits with comprehensive documentation and expert testimony, achieving 100% successful inspection outcomes</w:t>
      </w:r>
    </w:p>
    <w:p w14:paraId="6ED2E491" w14:textId="77777777" w:rsidR="00AE4827" w:rsidRPr="00AE4827" w:rsidRDefault="00AE4827" w:rsidP="00AE4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8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NORTHEASTERN BIOPHARMACEUTICALS</w:t>
      </w:r>
      <w:r w:rsidRPr="00AE4827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AE482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Medical Safety Officer</w:t>
      </w:r>
      <w:r w:rsidRPr="00AE4827">
        <w:rPr>
          <w:rFonts w:ascii="Times New Roman" w:eastAsia="Times New Roman" w:hAnsi="Times New Roman" w:cs="Times New Roman"/>
          <w:kern w:val="0"/>
          <w14:ligatures w14:val="none"/>
        </w:rPr>
        <w:t xml:space="preserve"> | 2012 – 2016</w:t>
      </w:r>
      <w:r w:rsidRPr="00AE482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482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Boston, MA</w:t>
      </w:r>
    </w:p>
    <w:p w14:paraId="2B977B66" w14:textId="77777777" w:rsidR="00AE4827" w:rsidRPr="00AE4827" w:rsidRDefault="00AE4827" w:rsidP="00AE48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827">
        <w:rPr>
          <w:rFonts w:ascii="Times New Roman" w:eastAsia="Times New Roman" w:hAnsi="Times New Roman" w:cs="Times New Roman"/>
          <w:kern w:val="0"/>
          <w14:ligatures w14:val="none"/>
        </w:rPr>
        <w:t>Managed comprehensive individual case safety reports and aggregate safety analysis for extensive hematology-oncology portfolio, ensuring accurate medical review and timely regulatory submissions</w:t>
      </w:r>
    </w:p>
    <w:p w14:paraId="6D65C11B" w14:textId="77777777" w:rsidR="00AE4827" w:rsidRPr="00AE4827" w:rsidRDefault="00AE4827" w:rsidP="00AE48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827">
        <w:rPr>
          <w:rFonts w:ascii="Times New Roman" w:eastAsia="Times New Roman" w:hAnsi="Times New Roman" w:cs="Times New Roman"/>
          <w:kern w:val="0"/>
          <w14:ligatures w14:val="none"/>
        </w:rPr>
        <w:t>Authored detailed safety sections for 8 INDs and 15 clinical study reports, providing thorough analysis of safety data and risk-benefit assessments for regulatory authorities</w:t>
      </w:r>
    </w:p>
    <w:p w14:paraId="73AE2CD4" w14:textId="77777777" w:rsidR="00AE4827" w:rsidRPr="00AE4827" w:rsidRDefault="00AE4827" w:rsidP="00AE48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827">
        <w:rPr>
          <w:rFonts w:ascii="Times New Roman" w:eastAsia="Times New Roman" w:hAnsi="Times New Roman" w:cs="Times New Roman"/>
          <w:kern w:val="0"/>
          <w14:ligatures w14:val="none"/>
        </w:rPr>
        <w:t>Implemented standardized MedDRA coding practices across clinical operations team, establishing quality control procedures and training programs to ensure consistent adverse event classification</w:t>
      </w:r>
    </w:p>
    <w:p w14:paraId="7BFAC350" w14:textId="77777777" w:rsidR="00AE4827" w:rsidRPr="00AE4827" w:rsidRDefault="00AE4827" w:rsidP="00AE48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827">
        <w:rPr>
          <w:rFonts w:ascii="Times New Roman" w:eastAsia="Times New Roman" w:hAnsi="Times New Roman" w:cs="Times New Roman"/>
          <w:kern w:val="0"/>
          <w14:ligatures w14:val="none"/>
        </w:rPr>
        <w:t>Supported multiple regulatory inspections with comprehensive documentation, expert medical testimony, and collaborative approach with inspectors, achieving 100% successful outcomes</w:t>
      </w:r>
    </w:p>
    <w:p w14:paraId="5E23CF78" w14:textId="77777777" w:rsidR="00AE4827" w:rsidRPr="00AE4827" w:rsidRDefault="00AE4827" w:rsidP="00AE48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827">
        <w:rPr>
          <w:rFonts w:ascii="Times New Roman" w:eastAsia="Times New Roman" w:hAnsi="Times New Roman" w:cs="Times New Roman"/>
          <w:kern w:val="0"/>
          <w14:ligatures w14:val="none"/>
        </w:rPr>
        <w:t>Developed safety monitoring plans for Phase I-III clinical studies, establishing protocols for safety run-ins, dose escalation procedures, and stopping rules</w:t>
      </w:r>
    </w:p>
    <w:p w14:paraId="1EDB0EBB" w14:textId="77777777" w:rsidR="00AE4827" w:rsidRPr="00AE4827" w:rsidRDefault="00AE4827" w:rsidP="00AE48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827">
        <w:rPr>
          <w:rFonts w:ascii="Times New Roman" w:eastAsia="Times New Roman" w:hAnsi="Times New Roman" w:cs="Times New Roman"/>
          <w:kern w:val="0"/>
          <w14:ligatures w14:val="none"/>
        </w:rPr>
        <w:t>Conducted medical review of serious adverse events and expedited safety reports, providing clinical interpretation and causality assessment for regulatory reporting</w:t>
      </w:r>
    </w:p>
    <w:p w14:paraId="54D0D122" w14:textId="77777777" w:rsidR="00AE4827" w:rsidRPr="00AE4827" w:rsidRDefault="00AE4827" w:rsidP="00AE48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827">
        <w:rPr>
          <w:rFonts w:ascii="Times New Roman" w:eastAsia="Times New Roman" w:hAnsi="Times New Roman" w:cs="Times New Roman"/>
          <w:kern w:val="0"/>
          <w14:ligatures w14:val="none"/>
        </w:rPr>
        <w:t>Collaborated with Clinical Research Associates and site personnel on safety data collection and adverse event reporting procedures, ensuring protocol compliance and data quality</w:t>
      </w:r>
    </w:p>
    <w:p w14:paraId="69F3DDD7" w14:textId="77777777" w:rsidR="00AE4827" w:rsidRPr="00AE4827" w:rsidRDefault="00AE4827" w:rsidP="00AE48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827">
        <w:rPr>
          <w:rFonts w:ascii="Times New Roman" w:eastAsia="Times New Roman" w:hAnsi="Times New Roman" w:cs="Times New Roman"/>
          <w:kern w:val="0"/>
          <w14:ligatures w14:val="none"/>
        </w:rPr>
        <w:t>Participated in Data Safety Monitoring Board meetings and safety review committees, providing medical expertise and safety assessment for ongoing clinical trials</w:t>
      </w:r>
    </w:p>
    <w:p w14:paraId="4B926ECD" w14:textId="77777777" w:rsidR="00AE4827" w:rsidRPr="00AE4827" w:rsidRDefault="00AE4827" w:rsidP="00AE4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8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METROPOLITAN MEDICAL CENTER</w:t>
      </w:r>
      <w:r w:rsidRPr="00AE4827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AE482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Clinical Research Fellow, Oncology</w:t>
      </w:r>
      <w:r w:rsidRPr="00AE4827">
        <w:rPr>
          <w:rFonts w:ascii="Times New Roman" w:eastAsia="Times New Roman" w:hAnsi="Times New Roman" w:cs="Times New Roman"/>
          <w:kern w:val="0"/>
          <w14:ligatures w14:val="none"/>
        </w:rPr>
        <w:t xml:space="preserve"> | 2008 – 2012</w:t>
      </w:r>
      <w:r w:rsidRPr="00AE482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482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New York, NY</w:t>
      </w:r>
    </w:p>
    <w:p w14:paraId="4BB18550" w14:textId="77777777" w:rsidR="00AE4827" w:rsidRPr="00AE4827" w:rsidRDefault="00AE4827" w:rsidP="00AE48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827">
        <w:rPr>
          <w:rFonts w:ascii="Times New Roman" w:eastAsia="Times New Roman" w:hAnsi="Times New Roman" w:cs="Times New Roman"/>
          <w:kern w:val="0"/>
          <w14:ligatures w14:val="none"/>
        </w:rPr>
        <w:t>Conducted comprehensive Phase I-II oncology clinical trials with primary focus on safety monitoring, adverse event management, and dose-limiting toxicity assessment for investigational therapeutics</w:t>
      </w:r>
    </w:p>
    <w:p w14:paraId="74543BE8" w14:textId="77777777" w:rsidR="00AE4827" w:rsidRPr="00AE4827" w:rsidRDefault="00AE4827" w:rsidP="00AE48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827">
        <w:rPr>
          <w:rFonts w:ascii="Times New Roman" w:eastAsia="Times New Roman" w:hAnsi="Times New Roman" w:cs="Times New Roman"/>
          <w:kern w:val="0"/>
          <w14:ligatures w14:val="none"/>
        </w:rPr>
        <w:t>Published 12 peer-reviewed articles on oncology drug safety, pharmacovigilance best practices, and adverse event management strategies, contributing to scientific knowledge in the field</w:t>
      </w:r>
    </w:p>
    <w:p w14:paraId="5E8B180F" w14:textId="77777777" w:rsidR="00AE4827" w:rsidRPr="00AE4827" w:rsidRDefault="00AE4827" w:rsidP="00AE48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827">
        <w:rPr>
          <w:rFonts w:ascii="Times New Roman" w:eastAsia="Times New Roman" w:hAnsi="Times New Roman" w:cs="Times New Roman"/>
          <w:kern w:val="0"/>
          <w14:ligatures w14:val="none"/>
        </w:rPr>
        <w:t>Developed clinical protocols for safety monitoring and adverse event reporting in early-phase oncology trials, establishing procedures that became institutional standards</w:t>
      </w:r>
    </w:p>
    <w:p w14:paraId="1926DD21" w14:textId="77777777" w:rsidR="00AE4827" w:rsidRPr="00AE4827" w:rsidRDefault="00AE4827" w:rsidP="00AE48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827">
        <w:rPr>
          <w:rFonts w:ascii="Times New Roman" w:eastAsia="Times New Roman" w:hAnsi="Times New Roman" w:cs="Times New Roman"/>
          <w:kern w:val="0"/>
          <w14:ligatures w14:val="none"/>
        </w:rPr>
        <w:t>Managed patient safety assessments and clinical monitoring for investigational oncology compounds, ensuring protocol compliance and regulatory adherence</w:t>
      </w:r>
    </w:p>
    <w:p w14:paraId="02FE0120" w14:textId="77777777" w:rsidR="00AE4827" w:rsidRPr="00AE4827" w:rsidRDefault="00AE4827" w:rsidP="00AE48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827">
        <w:rPr>
          <w:rFonts w:ascii="Times New Roman" w:eastAsia="Times New Roman" w:hAnsi="Times New Roman" w:cs="Times New Roman"/>
          <w:kern w:val="0"/>
          <w14:ligatures w14:val="none"/>
        </w:rPr>
        <w:t>Collaborated with principal investigators and clinical research teams on safety data interpretation and clinical decision-making for dose modifications and study continuations</w:t>
      </w:r>
    </w:p>
    <w:p w14:paraId="657DDCB3" w14:textId="77777777" w:rsidR="00AE4827" w:rsidRPr="00AE4827" w:rsidRDefault="00AE4827" w:rsidP="00AE48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827">
        <w:rPr>
          <w:rFonts w:ascii="Times New Roman" w:eastAsia="Times New Roman" w:hAnsi="Times New Roman" w:cs="Times New Roman"/>
          <w:kern w:val="0"/>
          <w14:ligatures w14:val="none"/>
        </w:rPr>
        <w:t>Participated in Institutional Review Board meetings and safety review committees, providing medical expertise on study safety and risk-benefit assessments</w:t>
      </w:r>
    </w:p>
    <w:p w14:paraId="2888A216" w14:textId="77777777" w:rsidR="00AE4827" w:rsidRPr="00AE4827" w:rsidRDefault="00AE4827" w:rsidP="00AE48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827">
        <w:rPr>
          <w:rFonts w:ascii="Times New Roman" w:eastAsia="Times New Roman" w:hAnsi="Times New Roman" w:cs="Times New Roman"/>
          <w:kern w:val="0"/>
          <w14:ligatures w14:val="none"/>
        </w:rPr>
        <w:pict w14:anchorId="18AACADC">
          <v:rect id="_x0000_i1027" style="width:0;height:1.5pt" o:hralign="center" o:hrstd="t" o:hr="t" fillcolor="#a0a0a0" stroked="f"/>
        </w:pict>
      </w:r>
    </w:p>
    <w:p w14:paraId="1CBEF56B" w14:textId="77777777" w:rsidR="00AE4827" w:rsidRPr="00AE4827" w:rsidRDefault="00AE4827" w:rsidP="00AE48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48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EDUCATION</w:t>
      </w:r>
    </w:p>
    <w:p w14:paraId="64D9D206" w14:textId="77777777" w:rsidR="00AE4827" w:rsidRPr="00AE4827" w:rsidRDefault="00AE4827" w:rsidP="00AE4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8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Doctor of Medicine (MD)</w:t>
      </w:r>
      <w:r w:rsidRPr="00AE4827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AE482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Columbia University College of Physicians &amp; Surgeons</w:t>
      </w:r>
      <w:r w:rsidRPr="00AE4827">
        <w:rPr>
          <w:rFonts w:ascii="Times New Roman" w:eastAsia="Times New Roman" w:hAnsi="Times New Roman" w:cs="Times New Roman"/>
          <w:kern w:val="0"/>
          <w14:ligatures w14:val="none"/>
        </w:rPr>
        <w:t xml:space="preserve"> | 2008</w:t>
      </w:r>
      <w:r w:rsidRPr="00AE482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48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Bachelor of Science, Biochemistry</w:t>
      </w:r>
      <w:r w:rsidRPr="00AE4827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AE482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Johns Hopkins University</w:t>
      </w:r>
      <w:r w:rsidRPr="00AE4827">
        <w:rPr>
          <w:rFonts w:ascii="Times New Roman" w:eastAsia="Times New Roman" w:hAnsi="Times New Roman" w:cs="Times New Roman"/>
          <w:kern w:val="0"/>
          <w14:ligatures w14:val="none"/>
        </w:rPr>
        <w:t xml:space="preserve"> | 2004</w:t>
      </w:r>
      <w:r w:rsidRPr="00AE482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48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Clinical Fellowship, Medical Oncology</w:t>
      </w:r>
      <w:r w:rsidRPr="00AE4827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AE482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Memorial Sloan Kettering Cancer Center</w:t>
      </w:r>
      <w:r w:rsidRPr="00AE4827">
        <w:rPr>
          <w:rFonts w:ascii="Times New Roman" w:eastAsia="Times New Roman" w:hAnsi="Times New Roman" w:cs="Times New Roman"/>
          <w:kern w:val="0"/>
          <w14:ligatures w14:val="none"/>
        </w:rPr>
        <w:t xml:space="preserve"> | 2011</w:t>
      </w:r>
    </w:p>
    <w:p w14:paraId="135B2D50" w14:textId="77777777" w:rsidR="00AE4827" w:rsidRPr="00AE4827" w:rsidRDefault="00AE4827" w:rsidP="00AE48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827">
        <w:rPr>
          <w:rFonts w:ascii="Times New Roman" w:eastAsia="Times New Roman" w:hAnsi="Times New Roman" w:cs="Times New Roman"/>
          <w:kern w:val="0"/>
          <w14:ligatures w14:val="none"/>
        </w:rPr>
        <w:pict w14:anchorId="6B3528F8">
          <v:rect id="_x0000_i1028" style="width:0;height:1.5pt" o:hralign="center" o:hrstd="t" o:hr="t" fillcolor="#a0a0a0" stroked="f"/>
        </w:pict>
      </w:r>
    </w:p>
    <w:p w14:paraId="2BE61694" w14:textId="77777777" w:rsidR="00AE4827" w:rsidRPr="00AE4827" w:rsidRDefault="00AE4827" w:rsidP="00AE48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48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CERTIFICATIONS &amp; TRAINING</w:t>
      </w:r>
    </w:p>
    <w:p w14:paraId="34FCEE4E" w14:textId="77777777" w:rsidR="00AE4827" w:rsidRPr="00AE4827" w:rsidRDefault="00AE4827" w:rsidP="00AE48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827">
        <w:rPr>
          <w:rFonts w:ascii="Times New Roman" w:eastAsia="Times New Roman" w:hAnsi="Times New Roman" w:cs="Times New Roman"/>
          <w:kern w:val="0"/>
          <w14:ligatures w14:val="none"/>
        </w:rPr>
        <w:t>Board Certified in Internal Medicine (2011) and Medical Oncology (2013)</w:t>
      </w:r>
    </w:p>
    <w:p w14:paraId="664EE533" w14:textId="77777777" w:rsidR="00AE4827" w:rsidRPr="00AE4827" w:rsidRDefault="00AE4827" w:rsidP="00AE48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827">
        <w:rPr>
          <w:rFonts w:ascii="Times New Roman" w:eastAsia="Times New Roman" w:hAnsi="Times New Roman" w:cs="Times New Roman"/>
          <w:kern w:val="0"/>
          <w14:ligatures w14:val="none"/>
        </w:rPr>
        <w:t>MedDRA Certified Trainer (2014)</w:t>
      </w:r>
    </w:p>
    <w:p w14:paraId="7BBBBE93" w14:textId="77777777" w:rsidR="00AE4827" w:rsidRPr="00AE4827" w:rsidRDefault="00AE4827" w:rsidP="00AE48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827">
        <w:rPr>
          <w:rFonts w:ascii="Times New Roman" w:eastAsia="Times New Roman" w:hAnsi="Times New Roman" w:cs="Times New Roman"/>
          <w:kern w:val="0"/>
          <w14:ligatures w14:val="none"/>
        </w:rPr>
        <w:t>Good Pharmacovigilance Practices (GVP) Certification (2015)</w:t>
      </w:r>
    </w:p>
    <w:p w14:paraId="6C8B0091" w14:textId="77777777" w:rsidR="00AE4827" w:rsidRPr="00AE4827" w:rsidRDefault="00AE4827" w:rsidP="00AE48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827">
        <w:rPr>
          <w:rFonts w:ascii="Times New Roman" w:eastAsia="Times New Roman" w:hAnsi="Times New Roman" w:cs="Times New Roman"/>
          <w:kern w:val="0"/>
          <w14:ligatures w14:val="none"/>
        </w:rPr>
        <w:t>ARGUS Safety Database Advanced User Certification (2017)</w:t>
      </w:r>
    </w:p>
    <w:p w14:paraId="2BA19B8F" w14:textId="77777777" w:rsidR="00AE4827" w:rsidRPr="00AE4827" w:rsidRDefault="00AE4827" w:rsidP="00AE48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827">
        <w:rPr>
          <w:rFonts w:ascii="Times New Roman" w:eastAsia="Times New Roman" w:hAnsi="Times New Roman" w:cs="Times New Roman"/>
          <w:kern w:val="0"/>
          <w14:ligatures w14:val="none"/>
        </w:rPr>
        <w:t>FDA IND/BLA Regulatory Strategy Workshop (2020)</w:t>
      </w:r>
    </w:p>
    <w:p w14:paraId="71D9918A" w14:textId="77777777" w:rsidR="00AE4827" w:rsidRPr="00AE4827" w:rsidRDefault="00AE4827" w:rsidP="00AE48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827">
        <w:rPr>
          <w:rFonts w:ascii="Times New Roman" w:eastAsia="Times New Roman" w:hAnsi="Times New Roman" w:cs="Times New Roman"/>
          <w:kern w:val="0"/>
          <w14:ligatures w14:val="none"/>
        </w:rPr>
        <w:pict w14:anchorId="7171A422">
          <v:rect id="_x0000_i1029" style="width:0;height:1.5pt" o:hralign="center" o:hrstd="t" o:hr="t" fillcolor="#a0a0a0" stroked="f"/>
        </w:pict>
      </w:r>
    </w:p>
    <w:p w14:paraId="42B15E1C" w14:textId="77777777" w:rsidR="00AE4827" w:rsidRPr="00AE4827" w:rsidRDefault="00AE4827" w:rsidP="00AE48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48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AWARDS &amp; RECOGNITION</w:t>
      </w:r>
    </w:p>
    <w:p w14:paraId="29741F21" w14:textId="77777777" w:rsidR="00AE4827" w:rsidRPr="00AE4827" w:rsidRDefault="00AE4827" w:rsidP="00AE48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827">
        <w:rPr>
          <w:rFonts w:ascii="Times New Roman" w:eastAsia="Times New Roman" w:hAnsi="Times New Roman" w:cs="Times New Roman"/>
          <w:kern w:val="0"/>
          <w14:ligatures w14:val="none"/>
        </w:rPr>
        <w:t>Atlantic Therapeutics "Excellence in Drug Safety Leadership" Award (2022)</w:t>
      </w:r>
    </w:p>
    <w:p w14:paraId="66DB0F5A" w14:textId="77777777" w:rsidR="00AE4827" w:rsidRPr="00AE4827" w:rsidRDefault="00AE4827" w:rsidP="00AE48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827">
        <w:rPr>
          <w:rFonts w:ascii="Times New Roman" w:eastAsia="Times New Roman" w:hAnsi="Times New Roman" w:cs="Times New Roman"/>
          <w:kern w:val="0"/>
          <w14:ligatures w14:val="none"/>
        </w:rPr>
        <w:t>FDA Recognition for Outstanding Collaboration during BLA Review (2021)</w:t>
      </w:r>
    </w:p>
    <w:p w14:paraId="7CE8CBC7" w14:textId="77777777" w:rsidR="00AE4827" w:rsidRPr="00AE4827" w:rsidRDefault="00AE4827" w:rsidP="00AE48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827">
        <w:rPr>
          <w:rFonts w:ascii="Times New Roman" w:eastAsia="Times New Roman" w:hAnsi="Times New Roman" w:cs="Times New Roman"/>
          <w:kern w:val="0"/>
          <w14:ligatures w14:val="none"/>
        </w:rPr>
        <w:t>Author of 25+ peer-reviewed publications in drug safety and oncology</w:t>
      </w:r>
    </w:p>
    <w:p w14:paraId="350B5D3E" w14:textId="77777777" w:rsidR="003E5CA4" w:rsidRDefault="003E5CA4"/>
    <w:sectPr w:rsidR="003E5CA4" w:rsidSect="00AE482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CDE"/>
    <w:multiLevelType w:val="multilevel"/>
    <w:tmpl w:val="02CE0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865157"/>
    <w:multiLevelType w:val="multilevel"/>
    <w:tmpl w:val="7656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42FA7"/>
    <w:multiLevelType w:val="multilevel"/>
    <w:tmpl w:val="CC14C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7351EF"/>
    <w:multiLevelType w:val="multilevel"/>
    <w:tmpl w:val="FBF2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4C02C5"/>
    <w:multiLevelType w:val="multilevel"/>
    <w:tmpl w:val="BC885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0D6215"/>
    <w:multiLevelType w:val="multilevel"/>
    <w:tmpl w:val="057E2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9804885">
    <w:abstractNumId w:val="3"/>
  </w:num>
  <w:num w:numId="2" w16cid:durableId="894586223">
    <w:abstractNumId w:val="1"/>
  </w:num>
  <w:num w:numId="3" w16cid:durableId="658267749">
    <w:abstractNumId w:val="4"/>
  </w:num>
  <w:num w:numId="4" w16cid:durableId="1740782688">
    <w:abstractNumId w:val="0"/>
  </w:num>
  <w:num w:numId="5" w16cid:durableId="2122603436">
    <w:abstractNumId w:val="5"/>
  </w:num>
  <w:num w:numId="6" w16cid:durableId="7401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827"/>
    <w:rsid w:val="001D4820"/>
    <w:rsid w:val="003E5CA4"/>
    <w:rsid w:val="004D3D38"/>
    <w:rsid w:val="00AE4827"/>
    <w:rsid w:val="00CA2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1454EC"/>
  <w15:chartTrackingRefBased/>
  <w15:docId w15:val="{473237A3-4ACB-405E-BAD7-ACA7E156A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8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8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8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8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8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8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8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8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8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8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8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8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8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8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8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8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8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854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872</Words>
  <Characters>6207</Characters>
  <Application>Microsoft Office Word</Application>
  <DocSecurity>0</DocSecurity>
  <Lines>51</Lines>
  <Paragraphs>14</Paragraphs>
  <ScaleCrop>false</ScaleCrop>
  <Company/>
  <LinksUpToDate>false</LinksUpToDate>
  <CharactersWithSpaces>7065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2025-07-23T17:51:00Z</dcterms:created>
  <dcterms:modified xsi:type="dcterms:W3CDTF">2025-07-23T17:53:00Z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3427f75d-6207-45ca-bee8-c07545b9a1d0</vt:lpwstr>
  </property>
</Properties>
</file>