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BF3F" w14:textId="0C77D1F8" w:rsidR="00F3398D" w:rsidRPr="00F3398D" w:rsidRDefault="00F3398D" w:rsidP="00F339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F33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</w:t>
      </w:r>
    </w:p>
    <w:p w14:paraId="542CBDAF" w14:textId="3E9929D9" w:rsidR="00F3398D" w:rsidRPr="00F3398D" w:rsidRDefault="00F3398D" w:rsidP="00F339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Philadel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phia, PA | 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Open to $280-300K</w:t>
      </w:r>
    </w:p>
    <w:p w14:paraId="5375CEB2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6987609F" w14:textId="77777777" w:rsidR="00F3398D" w:rsidRPr="00F3398D" w:rsidRDefault="00F3398D" w:rsidP="00F33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Board-certified Medical Oncologist with 8+ years of pharmaceutical medical affairs experience specializing in solid tumor oncology clinical development</w:t>
      </w:r>
    </w:p>
    <w:p w14:paraId="0992AB6D" w14:textId="77777777" w:rsidR="00F3398D" w:rsidRPr="00F3398D" w:rsidRDefault="00F3398D" w:rsidP="00F33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Proven expertise in lung cancer and head and neck oncology trials with exceptional cross-functional collaboration and evidence generation capabilities</w:t>
      </w:r>
    </w:p>
    <w:p w14:paraId="5AC72B25" w14:textId="77777777" w:rsidR="00F3398D" w:rsidRPr="00F3398D" w:rsidRDefault="00F3398D" w:rsidP="00F33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Super collaborative, highly personable leader with a can-do attitude and track record of successful Phase II-IV trial oversight and medical strategy development</w:t>
      </w:r>
    </w:p>
    <w:p w14:paraId="25CF0D46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675BFFCF" w14:textId="77777777" w:rsid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Meridian Pharmaceuticals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January 2019 - Present </w:t>
      </w:r>
    </w:p>
    <w:p w14:paraId="133D0050" w14:textId="37021E95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Director, Oncology Medical Affairs</w:t>
      </w:r>
    </w:p>
    <w:p w14:paraId="2641B449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Lead comprehensive medical strategy development for solid tumor portfolio including 3 late-stage lung cancer assets worth $2.8B in projected revenue, coordinating with global teams across 15 countries to ensure consistent clinical approach and regulatory alignment</w:t>
      </w:r>
    </w:p>
    <w:p w14:paraId="41AE2957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Oversee Phase II-IV clinical trial medical oversight for head and neck oncology programs, ensuring regulatory compliance and timeline adherence while managing safety monitoring protocols and conducting regular investigator meetings across 45+ clinical sites</w:t>
      </w:r>
    </w:p>
    <w:p w14:paraId="5174B9C2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Built strategic cross-functional partnerships with R&amp;D, Commercial, Regulatory, and Market Access teams resulting in 25% faster study startup times through streamlined communication processes and integrated planning sessions</w:t>
      </w:r>
    </w:p>
    <w:p w14:paraId="06072870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Developed comprehensive evidence generation strategies for lung cancer immunotherapy combination studies, contributing to 2 successful FDA submissions by creating robust clinical data packages and coordinating with regulatory consultants</w:t>
      </w:r>
    </w:p>
    <w:p w14:paraId="5BA705CF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Manage complex relationships with 15+ key opinion leaders across top-tier academic medical centers for advisory boards and investigator-initiated studies, facilitating scientific exchange and ensuring alignment with company strategic objectives</w:t>
      </w:r>
    </w:p>
    <w:p w14:paraId="3196CE16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Created and implemented comprehensive medical affairs training programs that improved team productivity by 30% and reduced onboarding time from 6 to 4 months, while establishing standardized operating procedures for clinical oversight activities</w:t>
      </w:r>
    </w:p>
    <w:p w14:paraId="016CED73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Collaborate extensively with cross-functional teams to support clinical trial design optimization, protocol amendments, and study conduct oversight, ensuring seamless integration between medical affairs and clinical development functions</w:t>
      </w:r>
    </w:p>
    <w:p w14:paraId="4ADE04E2" w14:textId="77777777" w:rsidR="00F3398D" w:rsidRPr="00F3398D" w:rsidRDefault="00F3398D" w:rsidP="00F33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Lead medical review and approval processes for all external communications including congress presentations, publications, and promotional materials related to lung cancer and head and neck oncology therapeutic areas</w:t>
      </w:r>
    </w:p>
    <w:p w14:paraId="55E90E01" w14:textId="77777777" w:rsid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Atlantic Therapeutics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June 2016 - December 2018 </w:t>
      </w:r>
    </w:p>
    <w:p w14:paraId="528715E8" w14:textId="77777777" w:rsid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Thoracic Oncology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June 2017 - December 2018 </w:t>
      </w:r>
    </w:p>
    <w:p w14:paraId="426E1D1B" w14:textId="68CB18E6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Medical Director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June 2016 - May 2017</w:t>
      </w:r>
    </w:p>
    <w:p w14:paraId="155F734C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 comprehensive medical strategy development for breakthrough therapy designated NSCLC treatment, leading to successful FDA approval through coordination of clinical data analysis, regulatory submission support, and advisory board facilitation</w:t>
      </w:r>
    </w:p>
    <w:p w14:paraId="09D6DFF6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Coordinated complex Phase III head and neck cancer study across 45 sites in 8 countries, maintaining 98% data quality metrics while managing protocol deviations, safety reporting, and investigator communications throughout the 24-month recruitment period</w:t>
      </w:r>
    </w:p>
    <w:p w14:paraId="135AA06F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Established robust medical monitoring protocols that reduced safety signal response time by 40%, implementing automated alert systems and streamlined communication pathways between clinical sites and medical affairs teams</w:t>
      </w:r>
    </w:p>
    <w:p w14:paraId="16C9816B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Presented clinical data at 12 major oncology conferences including ASCO, ESMO, and AACR, developing compelling scientific narratives and coordinating with medical communications teams to maximize scientific impact and visibility</w:t>
      </w:r>
    </w:p>
    <w:p w14:paraId="4B769719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Collaborated extensively with commercial teams on pre-launch planning and medical education initiatives, contributing to go-to-market strategy development and supporting key account management activities with major cancer centers</w:t>
      </w:r>
    </w:p>
    <w:p w14:paraId="1F8F80E3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Managed medical aspects of investigator-initiated studies program, reviewing protocols and providing scientific input for 8 academic collaborations worth $3.2M in external research funding</w:t>
      </w:r>
    </w:p>
    <w:p w14:paraId="5F504008" w14:textId="77777777" w:rsidR="00F3398D" w:rsidRPr="00F3398D" w:rsidRDefault="00F3398D" w:rsidP="00F3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Led cross-functional project teams for indication expansion studies, </w:t>
      </w:r>
      <w:proofErr w:type="gramStart"/>
      <w:r w:rsidRPr="00F3398D">
        <w:rPr>
          <w:rFonts w:ascii="Times New Roman" w:eastAsia="Times New Roman" w:hAnsi="Times New Roman" w:cs="Times New Roman"/>
          <w:kern w:val="0"/>
          <w14:ligatures w14:val="none"/>
        </w:rPr>
        <w:t>coordinating with</w:t>
      </w:r>
      <w:proofErr w:type="gramEnd"/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biostatistics, regulatory affairs, and clinical operations to ensure integrated approach to development planning and execution</w:t>
      </w:r>
    </w:p>
    <w:p w14:paraId="24B55C42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5CA11249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Johns Hopkins University School of Medicine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, 2012 Doctor of Medicine (MD)</w:t>
      </w:r>
    </w:p>
    <w:p w14:paraId="2A477135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Pennsylvania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, 2008 Bachelor of Science in Biology, Magna Cum Laude</w:t>
      </w:r>
    </w:p>
    <w:p w14:paraId="11CECD4E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TRAINING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Memorial Sloan Kettering Cancer Center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>, 2012-2015 Internal Medicine Residency and Medical Oncology Fellowship</w:t>
      </w:r>
    </w:p>
    <w:p w14:paraId="45A6F503" w14:textId="77777777" w:rsidR="00F3398D" w:rsidRPr="00F3398D" w:rsidRDefault="00F3398D" w:rsidP="00F3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</w:t>
      </w:r>
      <w:r w:rsidRPr="00F3398D">
        <w:rPr>
          <w:rFonts w:ascii="Times New Roman" w:eastAsia="Times New Roman" w:hAnsi="Times New Roman" w:cs="Times New Roman"/>
          <w:kern w:val="0"/>
          <w14:ligatures w14:val="none"/>
        </w:rPr>
        <w:t xml:space="preserve"> American Board of Internal Medicine - Medical Oncology (2015) American Board of Internal Medicine - Internal Medicine (2013)</w:t>
      </w:r>
    </w:p>
    <w:p w14:paraId="147A97C1" w14:textId="77777777" w:rsidR="003E5CA4" w:rsidRDefault="003E5CA4"/>
    <w:sectPr w:rsidR="003E5CA4" w:rsidSect="00F339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730"/>
    <w:multiLevelType w:val="multilevel"/>
    <w:tmpl w:val="CBA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042D2"/>
    <w:multiLevelType w:val="multilevel"/>
    <w:tmpl w:val="4F0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41F95"/>
    <w:multiLevelType w:val="multilevel"/>
    <w:tmpl w:val="A3C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253421">
    <w:abstractNumId w:val="2"/>
  </w:num>
  <w:num w:numId="2" w16cid:durableId="1444417723">
    <w:abstractNumId w:val="1"/>
  </w:num>
  <w:num w:numId="3" w16cid:durableId="153492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8D"/>
    <w:rsid w:val="001D4820"/>
    <w:rsid w:val="003E5CA4"/>
    <w:rsid w:val="00483FDC"/>
    <w:rsid w:val="00CA2E6D"/>
    <w:rsid w:val="00F3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C5228"/>
  <w15:chartTrackingRefBased/>
  <w15:docId w15:val="{18E45E75-57DD-4B3D-BC0C-82FFA5C5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600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2025-07-28T17:31:00Z</dcterms:created>
  <dcterms:modified xsi:type="dcterms:W3CDTF">2025-07-28T17:34:00Z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5f0464c9-1a45-427e-a4f1-a2d0098fed2c</vt:lpwstr>
  </property>
</Properties>
</file>