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041F" w14:textId="77777777" w:rsidR="00144802" w:rsidRPr="00144802" w:rsidRDefault="00144802" w:rsidP="001448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4802">
        <w:rPr>
          <w:rFonts w:ascii="Times New Roman" w:eastAsia="Times New Roman" w:hAnsi="Times New Roman" w:cs="Times New Roman"/>
          <w:b/>
          <w:bCs/>
          <w:kern w:val="36"/>
          <w:sz w:val="48"/>
          <w:szCs w:val="48"/>
          <w14:ligatures w14:val="none"/>
        </w:rPr>
        <w:t>CANDIDATE 2 RESUME</w:t>
      </w:r>
    </w:p>
    <w:p w14:paraId="3F65EC82"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21EA1911">
          <v:rect id="_x0000_i1025" style="width:0;height:1.5pt" o:hralign="center" o:hrstd="t" o:hr="t" fillcolor="#a0a0a0" stroked="f"/>
        </w:pict>
      </w:r>
    </w:p>
    <w:p w14:paraId="442F097F" w14:textId="77777777" w:rsidR="00144802" w:rsidRPr="00144802" w:rsidRDefault="00144802" w:rsidP="001448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4802">
        <w:rPr>
          <w:rFonts w:ascii="Times New Roman" w:eastAsia="Times New Roman" w:hAnsi="Times New Roman" w:cs="Times New Roman"/>
          <w:b/>
          <w:bCs/>
          <w:kern w:val="0"/>
          <w:sz w:val="36"/>
          <w:szCs w:val="36"/>
          <w14:ligatures w14:val="none"/>
        </w:rPr>
        <w:t>CONFIDENTIAL CANDIDATE 2</w:t>
      </w:r>
    </w:p>
    <w:p w14:paraId="5B8C37E8"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Philadelphia, Pennsylvania</w:t>
      </w:r>
    </w:p>
    <w:p w14:paraId="2D49B944"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Senior Director, Device Development</w:t>
      </w:r>
    </w:p>
    <w:p w14:paraId="00553475"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2CD054F4">
          <v:rect id="_x0000_i1026" style="width:0;height:1.5pt" o:hralign="center" o:hrstd="t" o:hr="t" fillcolor="#a0a0a0" stroked="f"/>
        </w:pict>
      </w:r>
    </w:p>
    <w:p w14:paraId="5FCA1C4E" w14:textId="77777777" w:rsidR="00144802" w:rsidRPr="00144802" w:rsidRDefault="00144802" w:rsidP="001448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802">
        <w:rPr>
          <w:rFonts w:ascii="Times New Roman" w:eastAsia="Times New Roman" w:hAnsi="Times New Roman" w:cs="Times New Roman"/>
          <w:b/>
          <w:bCs/>
          <w:kern w:val="0"/>
          <w:sz w:val="27"/>
          <w:szCs w:val="27"/>
          <w14:ligatures w14:val="none"/>
        </w:rPr>
        <w:t>PROFESSIONAL SUMMARY</w:t>
      </w:r>
    </w:p>
    <w:p w14:paraId="67ACD831"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 xml:space="preserve">Strategic and technically rigorous Senior Director with 14+ years of deep expertise in combination product engineering for subcutaneous biologics, with </w:t>
      </w:r>
      <w:proofErr w:type="gramStart"/>
      <w:r w:rsidRPr="00144802">
        <w:rPr>
          <w:rFonts w:ascii="Times New Roman" w:eastAsia="Times New Roman" w:hAnsi="Times New Roman" w:cs="Times New Roman"/>
          <w:kern w:val="0"/>
          <w14:ligatures w14:val="none"/>
        </w:rPr>
        <w:t>particular strength</w:t>
      </w:r>
      <w:proofErr w:type="gramEnd"/>
      <w:r w:rsidRPr="00144802">
        <w:rPr>
          <w:rFonts w:ascii="Times New Roman" w:eastAsia="Times New Roman" w:hAnsi="Times New Roman" w:cs="Times New Roman"/>
          <w:kern w:val="0"/>
          <w14:ligatures w14:val="none"/>
        </w:rPr>
        <w:t xml:space="preserve"> in monoclonal antibody programs. Exceptional track record of driving high-stakes manufacturing solutions, leading complex CDMO partnerships, and delivering device innovations from early development through commercial launch. Known for hands-on, roll-up-your-</w:t>
      </w:r>
      <w:proofErr w:type="gramStart"/>
      <w:r w:rsidRPr="00144802">
        <w:rPr>
          <w:rFonts w:ascii="Times New Roman" w:eastAsia="Times New Roman" w:hAnsi="Times New Roman" w:cs="Times New Roman"/>
          <w:kern w:val="0"/>
          <w14:ligatures w14:val="none"/>
        </w:rPr>
        <w:t>sleeves</w:t>
      </w:r>
      <w:proofErr w:type="gramEnd"/>
      <w:r w:rsidRPr="00144802">
        <w:rPr>
          <w:rFonts w:ascii="Times New Roman" w:eastAsia="Times New Roman" w:hAnsi="Times New Roman" w:cs="Times New Roman"/>
          <w:kern w:val="0"/>
          <w14:ligatures w14:val="none"/>
        </w:rPr>
        <w:t xml:space="preserve"> leadership approach that bridges technical excellence with business outcomes. Proven ability to navigate regulatory complexity while maintaining </w:t>
      </w:r>
      <w:proofErr w:type="gramStart"/>
      <w:r w:rsidRPr="00144802">
        <w:rPr>
          <w:rFonts w:ascii="Times New Roman" w:eastAsia="Times New Roman" w:hAnsi="Times New Roman" w:cs="Times New Roman"/>
          <w:kern w:val="0"/>
          <w14:ligatures w14:val="none"/>
        </w:rPr>
        <w:t>program</w:t>
      </w:r>
      <w:proofErr w:type="gramEnd"/>
      <w:r w:rsidRPr="00144802">
        <w:rPr>
          <w:rFonts w:ascii="Times New Roman" w:eastAsia="Times New Roman" w:hAnsi="Times New Roman" w:cs="Times New Roman"/>
          <w:kern w:val="0"/>
          <w14:ligatures w14:val="none"/>
        </w:rPr>
        <w:t xml:space="preserve"> momentum in fast-paced biotech environments.</w:t>
      </w:r>
    </w:p>
    <w:p w14:paraId="6CEEC1B0" w14:textId="04AC5B18"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Location:</w:t>
      </w:r>
      <w:r w:rsidRPr="00144802">
        <w:rPr>
          <w:rFonts w:ascii="Times New Roman" w:eastAsia="Times New Roman" w:hAnsi="Times New Roman" w:cs="Times New Roman"/>
          <w:kern w:val="0"/>
          <w14:ligatures w14:val="none"/>
        </w:rPr>
        <w:t xml:space="preserve"> Greater Philadelphia Area (Hybrid-Ready, Commutable to Wayne, PA)</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 xml:space="preserve">Current </w:t>
      </w:r>
      <w:r>
        <w:rPr>
          <w:rFonts w:ascii="Times New Roman" w:eastAsia="Times New Roman" w:hAnsi="Times New Roman" w:cs="Times New Roman"/>
          <w:b/>
          <w:bCs/>
          <w:kern w:val="0"/>
          <w14:ligatures w14:val="none"/>
        </w:rPr>
        <w:t xml:space="preserve">Base </w:t>
      </w:r>
      <w:r w:rsidRPr="00144802">
        <w:rPr>
          <w:rFonts w:ascii="Times New Roman" w:eastAsia="Times New Roman" w:hAnsi="Times New Roman" w:cs="Times New Roman"/>
          <w:b/>
          <w:bCs/>
          <w:kern w:val="0"/>
          <w14:ligatures w14:val="none"/>
        </w:rPr>
        <w:t>Compensation Target:</w:t>
      </w:r>
      <w:r w:rsidRPr="00144802">
        <w:rPr>
          <w:rFonts w:ascii="Times New Roman" w:eastAsia="Times New Roman" w:hAnsi="Times New Roman" w:cs="Times New Roman"/>
          <w:kern w:val="0"/>
          <w14:ligatures w14:val="none"/>
        </w:rPr>
        <w:t xml:space="preserve"> $210,000</w:t>
      </w:r>
    </w:p>
    <w:p w14:paraId="1E8980BD"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4F57DBD2">
          <v:rect id="_x0000_i1027" style="width:0;height:1.5pt" o:hralign="center" o:hrstd="t" o:hr="t" fillcolor="#a0a0a0" stroked="f"/>
        </w:pict>
      </w:r>
    </w:p>
    <w:p w14:paraId="1C1C999F" w14:textId="77777777" w:rsidR="00144802" w:rsidRPr="00144802" w:rsidRDefault="00144802" w:rsidP="001448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802">
        <w:rPr>
          <w:rFonts w:ascii="Times New Roman" w:eastAsia="Times New Roman" w:hAnsi="Times New Roman" w:cs="Times New Roman"/>
          <w:b/>
          <w:bCs/>
          <w:kern w:val="0"/>
          <w:sz w:val="27"/>
          <w:szCs w:val="27"/>
          <w14:ligatures w14:val="none"/>
        </w:rPr>
        <w:t>PROFESSIONAL EXPERIENCE</w:t>
      </w:r>
    </w:p>
    <w:p w14:paraId="103E1CC4"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SPECIALTY PHARMA COMPANY</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i/>
          <w:iCs/>
          <w:kern w:val="0"/>
          <w14:ligatures w14:val="none"/>
        </w:rPr>
        <w:t>Senior Director, Device Development &amp; Engineering</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King of Prussia, PA | August 2018 – Present</w:t>
      </w:r>
    </w:p>
    <w:p w14:paraId="39E240ED"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 xml:space="preserve">Provide enterprise-level technical leadership and strategic direction for combination product portfolio supporting $500M+ commercial franchise of subcutaneous </w:t>
      </w:r>
      <w:proofErr w:type="spellStart"/>
      <w:r w:rsidRPr="00144802">
        <w:rPr>
          <w:rFonts w:ascii="Times New Roman" w:eastAsia="Times New Roman" w:hAnsi="Times New Roman" w:cs="Times New Roman"/>
          <w:kern w:val="0"/>
          <w14:ligatures w14:val="none"/>
        </w:rPr>
        <w:t>mAb</w:t>
      </w:r>
      <w:proofErr w:type="spellEnd"/>
      <w:r w:rsidRPr="00144802">
        <w:rPr>
          <w:rFonts w:ascii="Times New Roman" w:eastAsia="Times New Roman" w:hAnsi="Times New Roman" w:cs="Times New Roman"/>
          <w:kern w:val="0"/>
          <w14:ligatures w14:val="none"/>
        </w:rPr>
        <w:t xml:space="preserve"> therapies across autoimmune indications, setting technical vision, prioritizing resource allocation, and ensuring alignment with corporate strategy and commercial objectives</w:t>
      </w:r>
    </w:p>
    <w:p w14:paraId="37E1A701"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Direct comprehensive strategy and hands-on execution for 8+ device programs spanning prefilled syringes, autoinjectors, and on-body delivery systems from initial concept development through lifecycle management, regulatory approval, commercial launch, and post-market surveillance activities</w:t>
      </w:r>
    </w:p>
    <w:p w14:paraId="66D0A235"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Lead and personally manage technical relationships with 6 global CDMOs, driving resolution of critical manufacturing challenges including glass delamination events, silicone oil migration and protein interaction issues, automated vision inspection system failures, and complex assembly process deviations through deep technical engagement and collaborative problem-solving</w:t>
      </w:r>
    </w:p>
    <w:p w14:paraId="6CEBCB14"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Championed enterprise-wide device platform rationalization and standardization initiative that consolidated supplier base by 30%, reduced cost of goods by $1.8M annually, improved supply chain resilience and flexibility, and enhanced technical capabilities through strategic CDMO partnerships</w:t>
      </w:r>
    </w:p>
    <w:p w14:paraId="2CDAB9D3"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Architect comprehensive Design History File infrastructure, documentation governance model, and quality management system ensuring full regulatory compliance with FDA combination product regulations (21 CFR Part 4), ISO 13485, and EU MDR across multi-site development and manufacturing operations</w:t>
      </w:r>
    </w:p>
    <w:p w14:paraId="5E179B5B"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lastRenderedPageBreak/>
        <w:t>Spearheaded rapid technology transfer of autoinjector assembly operations from European to US-based CDMO, personally leading tech transfer team, completing validation and commercial readiness activities 4 months ahead of schedule, and successfully mitigating commercial supply risk during global supply chain disruptions</w:t>
      </w:r>
    </w:p>
    <w:p w14:paraId="4AAFEBBE"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Represent company as primary technical subject matter expert in high-stakes regulatory interactions including FDA Pre-Approval Inspections (PAI), Type C meetings, and advisory committee preparation regarding device design rationale, manufacturing controls, validation strategies, and post-market surveillance plans</w:t>
      </w:r>
    </w:p>
    <w:p w14:paraId="59F3B143"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Build and mentor high-performing technical teams through strategic hiring, professional development planning, technical coaching, and fostering culture of innovation and technical rigor that drives both individual growth and organizational capability</w:t>
      </w:r>
    </w:p>
    <w:p w14:paraId="74E43DFD"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Drive technical due diligence for business development opportunities, evaluating device technologies, manufacturing capabilities, and intellectual property landscapes to inform licensing decisions and strategic partnerships</w:t>
      </w:r>
    </w:p>
    <w:p w14:paraId="732B0D44"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Establish and champion continuous improvement culture through implementation of Lean Six Sigma initiatives, failure mode analysis workshops, and cross-functional problem-solving forums that reduce cycle times and improve quality outcomes</w:t>
      </w:r>
    </w:p>
    <w:p w14:paraId="55A8DB5E"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Collaborate with commercial teams to define device user requirements, competitive positioning strategies, and value propositions that differentiate products in crowded therapeutic markets and address unmet patient needs</w:t>
      </w:r>
    </w:p>
    <w:p w14:paraId="49F4941E" w14:textId="77777777" w:rsidR="00144802" w:rsidRPr="00144802" w:rsidRDefault="00144802" w:rsidP="001448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Lead development of long-term device technology roadmap, evaluating emerging platforms (connected devices, wearable systems, novel materials), conducting feasibility assessments, and making strategic recommendations on technology investments</w:t>
      </w:r>
    </w:p>
    <w:p w14:paraId="46E31D1D"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SPECIALTY PHARMA COMPANY</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i/>
          <w:iCs/>
          <w:kern w:val="0"/>
          <w14:ligatures w14:val="none"/>
        </w:rPr>
        <w:t>Director, Device Engineering</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King of Prussia, PA | February 2015 – August 2018</w:t>
      </w:r>
    </w:p>
    <w:p w14:paraId="11E0AFB0"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 xml:space="preserve">Built and scaled device engineering </w:t>
      </w:r>
      <w:proofErr w:type="gramStart"/>
      <w:r w:rsidRPr="00144802">
        <w:rPr>
          <w:rFonts w:ascii="Times New Roman" w:eastAsia="Times New Roman" w:hAnsi="Times New Roman" w:cs="Times New Roman"/>
          <w:kern w:val="0"/>
          <w14:ligatures w14:val="none"/>
        </w:rPr>
        <w:t>function</w:t>
      </w:r>
      <w:proofErr w:type="gramEnd"/>
      <w:r w:rsidRPr="00144802">
        <w:rPr>
          <w:rFonts w:ascii="Times New Roman" w:eastAsia="Times New Roman" w:hAnsi="Times New Roman" w:cs="Times New Roman"/>
          <w:kern w:val="0"/>
          <w14:ligatures w14:val="none"/>
        </w:rPr>
        <w:t xml:space="preserve"> from 2 to 9 full-time employees, establishing comprehensive technical capabilities, laboratory infrastructure, testing equipment, and organizational processes to support rapid commercial portfolio growth and pipeline advancement</w:t>
      </w:r>
    </w:p>
    <w:p w14:paraId="73C0B7B8"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Led complete end-to-end device development for next-generation autoinjector platform from concept through design freeze, engineering verification, human factors validation, regulatory approval, and commercial launch within aggressive 24-month timeline while maintaining quality and compliance standards</w:t>
      </w:r>
    </w:p>
    <w:p w14:paraId="4355044E"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Developed and implemented comprehensive risk management framework integrating FMEA (Failure Modes and Effects Analysis), fault tree analysis, hazard analysis, and usability risk assessment methodologies aligned with ISO 14971 and human factors engineering principles</w:t>
      </w:r>
    </w:p>
    <w:p w14:paraId="2F9304EB"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Drove systematic device design optimizations through Design of Experiments (DOE) studies and iterative testing cycles, yielding 35% improvement in injection time consistency, 50% reduction in patient-reported administration errors, and enhanced overall user satisfaction scores</w:t>
      </w:r>
    </w:p>
    <w:p w14:paraId="36308A62"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Established robust vendor qualification program and strategic supply chain management approach for critical device components across 12+ global suppliers, including on-site audits, quality agreement negotiations, performance monitoring, and risk mitigation planning</w:t>
      </w:r>
    </w:p>
    <w:p w14:paraId="7F39915D"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Directed multiple concurrent design control activities across portfolio of programs, ensuring adherence to FDA Quality System Regulation (QSR) and maintaining complete traceability from user needs through design inputs, verification, validation, and design transfer</w:t>
      </w:r>
    </w:p>
    <w:p w14:paraId="5E8A8CBA"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 xml:space="preserve">Collaborated with regulatory affairs to prepare comprehensive device sections of BLA and 510(k) submissions, including design rationale, verification and validation summaries, human factors </w:t>
      </w:r>
      <w:proofErr w:type="gramStart"/>
      <w:r w:rsidRPr="00144802">
        <w:rPr>
          <w:rFonts w:ascii="Times New Roman" w:eastAsia="Times New Roman" w:hAnsi="Times New Roman" w:cs="Times New Roman"/>
          <w:kern w:val="0"/>
          <w14:ligatures w14:val="none"/>
        </w:rPr>
        <w:t>reports</w:t>
      </w:r>
      <w:proofErr w:type="gramEnd"/>
      <w:r w:rsidRPr="00144802">
        <w:rPr>
          <w:rFonts w:ascii="Times New Roman" w:eastAsia="Times New Roman" w:hAnsi="Times New Roman" w:cs="Times New Roman"/>
          <w:kern w:val="0"/>
          <w14:ligatures w14:val="none"/>
        </w:rPr>
        <w:t>, and manufacturing process descriptions</w:t>
      </w:r>
    </w:p>
    <w:p w14:paraId="0445A3CD"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lastRenderedPageBreak/>
        <w:t>Led investigations of post-market device complaints and field actions, implementing effective CAPAs (Corrective and Preventive Actions) and design improvements to enhance product reliability and user experience</w:t>
      </w:r>
    </w:p>
    <w:p w14:paraId="7EA995FB"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Partnered with clinical teams to support device training for clinical sites, develop administration instructions for use, and address any device-related questions or issues during clinical trials</w:t>
      </w:r>
    </w:p>
    <w:p w14:paraId="4AEBCC52" w14:textId="77777777" w:rsidR="00144802" w:rsidRPr="00144802" w:rsidRDefault="00144802" w:rsidP="001448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Established technical metrics and KPIs to track program health, identify risks early, and drive data-informed decision-making across device development portfolio</w:t>
      </w:r>
    </w:p>
    <w:p w14:paraId="530A55A8"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CLINICAL-STAGE BIOTECH COMPANY</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i/>
          <w:iCs/>
          <w:kern w:val="0"/>
          <w14:ligatures w14:val="none"/>
        </w:rPr>
        <w:t>Senior Manager, Combination Products</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Philadelphia, PA | June 2011 – January 2015</w:t>
      </w:r>
    </w:p>
    <w:p w14:paraId="4E84EF23"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 xml:space="preserve">Managed comprehensive technical development of prefilled syringe and autoinjector systems for 4 </w:t>
      </w:r>
      <w:proofErr w:type="gramStart"/>
      <w:r w:rsidRPr="00144802">
        <w:rPr>
          <w:rFonts w:ascii="Times New Roman" w:eastAsia="Times New Roman" w:hAnsi="Times New Roman" w:cs="Times New Roman"/>
          <w:kern w:val="0"/>
          <w14:ligatures w14:val="none"/>
        </w:rPr>
        <w:t>clinical-stage</w:t>
      </w:r>
      <w:proofErr w:type="gramEnd"/>
      <w:r w:rsidRPr="00144802">
        <w:rPr>
          <w:rFonts w:ascii="Times New Roman" w:eastAsia="Times New Roman" w:hAnsi="Times New Roman" w:cs="Times New Roman"/>
          <w:kern w:val="0"/>
          <w14:ligatures w14:val="none"/>
        </w:rPr>
        <w:t xml:space="preserve"> </w:t>
      </w:r>
      <w:proofErr w:type="spellStart"/>
      <w:r w:rsidRPr="00144802">
        <w:rPr>
          <w:rFonts w:ascii="Times New Roman" w:eastAsia="Times New Roman" w:hAnsi="Times New Roman" w:cs="Times New Roman"/>
          <w:kern w:val="0"/>
          <w14:ligatures w14:val="none"/>
        </w:rPr>
        <w:t>mAb</w:t>
      </w:r>
      <w:proofErr w:type="spellEnd"/>
      <w:r w:rsidRPr="00144802">
        <w:rPr>
          <w:rFonts w:ascii="Times New Roman" w:eastAsia="Times New Roman" w:hAnsi="Times New Roman" w:cs="Times New Roman"/>
          <w:kern w:val="0"/>
          <w14:ligatures w14:val="none"/>
        </w:rPr>
        <w:t xml:space="preserve"> programs across oncology and immunology indications, coordinating activities from initial feasibility through IND submission, clinical supply manufacturing, and ongoing Phase 1-2 program support</w:t>
      </w:r>
    </w:p>
    <w:p w14:paraId="5CD6FB23"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Led highly collaborative cross-functional teams including CMC development, analytical sciences, quality assurance, regulatory affairs, and clinical operations through complex IND-enabling studies, stability programs, clinical trial supply manufacturing campaigns, and Phase 1-2 program execution</w:t>
      </w:r>
    </w:p>
    <w:p w14:paraId="3E6D5D5C"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Executed comprehensive human factors engineering studies including formative usability testing with simulated-use scenarios, validation usability testing with representative users, and comparative studies against marketed devices, ensuring device design meets user needs and minimizes use-related risks</w:t>
      </w:r>
    </w:p>
    <w:p w14:paraId="04A35EA1"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Authored detailed and scientifically rigorous CMC sections of regulatory submissions (IND and BLA modules) focused on device design rationale, primary container closure system selection, manufacturing process descriptions, analytical methods, control strategies, and stability protocols</w:t>
      </w:r>
    </w:p>
    <w:p w14:paraId="0A71EF8D"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Resolved critical device-related CMC clinical hold issued by FDA by rapidly implementing alternative primary container system, executing comprehensive comparability studies across multiple drug product attributes, and providing detailed technical justification within 90-day timeline to resume clinical trials</w:t>
      </w:r>
    </w:p>
    <w:p w14:paraId="4FFFBC61"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Designed and executed drug-device compatibility studies including protein stability assessments, subvisible and visible particle analysis, container closure integrity testing, and functionality testing under various storage and handling conditions</w:t>
      </w:r>
    </w:p>
    <w:p w14:paraId="20EAAC02"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Managed relationships with device suppliers and contract manufacturers, negotiating technical agreements, overseeing manufacturing transfers, conducting supplier audits, and resolving technical issues to ensure reliable clinical supply</w:t>
      </w:r>
    </w:p>
    <w:p w14:paraId="65D5893D"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Developed technical training materials and conducted training sessions for clinical coordinators, investigators, and site staff on proper device handling, storage, preparation, and administration techniques</w:t>
      </w:r>
    </w:p>
    <w:p w14:paraId="4BFED20F"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Participated in investigator meetings and regulatory interactions, presenting device-related data and addressing technical questions from clinical teams and regulatory authorities</w:t>
      </w:r>
    </w:p>
    <w:p w14:paraId="09CD6EAE" w14:textId="77777777" w:rsidR="00144802" w:rsidRPr="00144802" w:rsidRDefault="00144802" w:rsidP="001448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Supported CMC development strategy by evaluating multiple container closure and device options, conducting feasibility studies, and making recommendations based on technical performance, regulatory considerations, and commercial viability</w:t>
      </w:r>
    </w:p>
    <w:p w14:paraId="291BCBE6"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CLINICAL-STAGE BIOTECH COMPANY</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i/>
          <w:iCs/>
          <w:kern w:val="0"/>
          <w14:ligatures w14:val="none"/>
        </w:rPr>
        <w:t>Device Development Engineer</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Philadelphia, PA | July 2008 – May 2011</w:t>
      </w:r>
    </w:p>
    <w:p w14:paraId="2A6A035C" w14:textId="77777777" w:rsidR="00144802" w:rsidRPr="00144802" w:rsidRDefault="00144802" w:rsidP="001448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Supported device development activities for early-stage programs including prototype testing, supplier evaluation, component qualification, and documentation of design decisions to support program advancement and regulatory readiness</w:t>
      </w:r>
    </w:p>
    <w:p w14:paraId="400F9ADE" w14:textId="77777777" w:rsidR="00144802" w:rsidRPr="00144802" w:rsidRDefault="00144802" w:rsidP="001448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lastRenderedPageBreak/>
        <w:t>Conducted laboratory testing of device components and assemblies including mechanical performance testing, dimensional inspections, functionality assessments under various environmental conditions, and reliability studies to inform design decisions</w:t>
      </w:r>
    </w:p>
    <w:p w14:paraId="31B50433" w14:textId="77777777" w:rsidR="00144802" w:rsidRPr="00144802" w:rsidRDefault="00144802" w:rsidP="001448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Assisted with preparation of technical documentation including design specifications, test protocols, test reports, risk analysis documents, and supplier qualification packages required for regulatory submissions and quality system compliance</w:t>
      </w:r>
    </w:p>
    <w:p w14:paraId="086EF24C" w14:textId="77777777" w:rsidR="00144802" w:rsidRPr="00144802" w:rsidRDefault="00144802" w:rsidP="001448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Collaborated with external testing laboratories and contract research organizations to execute specialized studies including biocompatibility testing, sterilization validation, package integrity testing, and shipping/distribution studies</w:t>
      </w:r>
    </w:p>
    <w:p w14:paraId="2351F1F4" w14:textId="77777777" w:rsidR="00144802" w:rsidRPr="00144802" w:rsidRDefault="00144802" w:rsidP="001448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Participated in design review meetings and technical discussions with cross-functional stakeholders, presenting test data, identifying technical risks, and contributing to decision-making on design direction and program strategy</w:t>
      </w:r>
    </w:p>
    <w:p w14:paraId="19BBD4CA" w14:textId="77777777" w:rsidR="00144802" w:rsidRPr="00144802" w:rsidRDefault="00144802" w:rsidP="001448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Supported competitive intelligence activities by analyzing marketed combination products, documenting design features and specifications, and identifying best practices and potential areas for innovation in internal programs</w:t>
      </w:r>
    </w:p>
    <w:p w14:paraId="55DF173B" w14:textId="77777777" w:rsidR="00144802" w:rsidRPr="00144802" w:rsidRDefault="00144802" w:rsidP="001448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Maintained accurate records in electronic document management systems, ensuring compliance with GMP documentation practices, data integrity requirements, and regulatory expectations for design history files</w:t>
      </w:r>
    </w:p>
    <w:p w14:paraId="6A8B2812" w14:textId="77777777" w:rsidR="00144802" w:rsidRPr="00144802" w:rsidRDefault="00144802" w:rsidP="001448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Assisted senior engineers with various technical tasks including literature reviews, patent searches, feasibility assessments, and preparation of technical presentations for internal and external audiences</w:t>
      </w:r>
    </w:p>
    <w:p w14:paraId="778D1B1E"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7898F68E">
          <v:rect id="_x0000_i1028" style="width:0;height:1.5pt" o:hralign="center" o:hrstd="t" o:hr="t" fillcolor="#a0a0a0" stroked="f"/>
        </w:pict>
      </w:r>
    </w:p>
    <w:p w14:paraId="7B565344" w14:textId="77777777" w:rsidR="00144802" w:rsidRPr="00144802" w:rsidRDefault="00144802" w:rsidP="001448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802">
        <w:rPr>
          <w:rFonts w:ascii="Times New Roman" w:eastAsia="Times New Roman" w:hAnsi="Times New Roman" w:cs="Times New Roman"/>
          <w:b/>
          <w:bCs/>
          <w:kern w:val="0"/>
          <w:sz w:val="27"/>
          <w:szCs w:val="27"/>
          <w14:ligatures w14:val="none"/>
        </w:rPr>
        <w:t>EDUCATION</w:t>
      </w:r>
    </w:p>
    <w:p w14:paraId="39C56432"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MAJOR UNIVERSITY</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i/>
          <w:iCs/>
          <w:kern w:val="0"/>
          <w14:ligatures w14:val="none"/>
        </w:rPr>
        <w:t>PhD, Biomedical Engineering</w:t>
      </w:r>
      <w:r w:rsidRPr="00144802">
        <w:rPr>
          <w:rFonts w:ascii="Times New Roman" w:eastAsia="Times New Roman" w:hAnsi="Times New Roman" w:cs="Times New Roman"/>
          <w:kern w:val="0"/>
          <w14:ligatures w14:val="none"/>
        </w:rPr>
        <w:br/>
        <w:t xml:space="preserve">Dissertation: "Material Science Approaches to Optimizing Drug-Device Compatibility in High-Concentration </w:t>
      </w:r>
      <w:proofErr w:type="spellStart"/>
      <w:r w:rsidRPr="00144802">
        <w:rPr>
          <w:rFonts w:ascii="Times New Roman" w:eastAsia="Times New Roman" w:hAnsi="Times New Roman" w:cs="Times New Roman"/>
          <w:kern w:val="0"/>
          <w14:ligatures w14:val="none"/>
        </w:rPr>
        <w:t>mAb</w:t>
      </w:r>
      <w:proofErr w:type="spellEnd"/>
      <w:r w:rsidRPr="00144802">
        <w:rPr>
          <w:rFonts w:ascii="Times New Roman" w:eastAsia="Times New Roman" w:hAnsi="Times New Roman" w:cs="Times New Roman"/>
          <w:kern w:val="0"/>
          <w14:ligatures w14:val="none"/>
        </w:rPr>
        <w:t xml:space="preserve"> Formulations"</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Philadelphia, PA | 2014 – 2018</w:t>
      </w:r>
      <w:r w:rsidRPr="00144802">
        <w:rPr>
          <w:rFonts w:ascii="Times New Roman" w:eastAsia="Times New Roman" w:hAnsi="Times New Roman" w:cs="Times New Roman"/>
          <w:kern w:val="0"/>
          <w14:ligatures w14:val="none"/>
        </w:rPr>
        <w:t xml:space="preserve"> </w:t>
      </w:r>
      <w:r w:rsidRPr="00144802">
        <w:rPr>
          <w:rFonts w:ascii="Times New Roman" w:eastAsia="Times New Roman" w:hAnsi="Times New Roman" w:cs="Times New Roman"/>
          <w:i/>
          <w:iCs/>
          <w:kern w:val="0"/>
          <w14:ligatures w14:val="none"/>
        </w:rPr>
        <w:t>(Completed part-time while working)</w:t>
      </w:r>
    </w:p>
    <w:p w14:paraId="64A19BD1"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PRIVATE UNIVERSITY</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i/>
          <w:iCs/>
          <w:kern w:val="0"/>
          <w14:ligatures w14:val="none"/>
        </w:rPr>
        <w:t>Bachelor of Science, Materials Science &amp; Engineering</w:t>
      </w:r>
      <w:r w:rsidRPr="00144802">
        <w:rPr>
          <w:rFonts w:ascii="Times New Roman" w:eastAsia="Times New Roman" w:hAnsi="Times New Roman" w:cs="Times New Roman"/>
          <w:kern w:val="0"/>
          <w14:ligatures w14:val="none"/>
        </w:rPr>
        <w:br/>
        <w:t>Cum Laude</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Pennsylvania | 2004 – 2008</w:t>
      </w:r>
    </w:p>
    <w:p w14:paraId="26E38FF9"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1F379BAD">
          <v:rect id="_x0000_i1029" style="width:0;height:1.5pt" o:hralign="center" o:hrstd="t" o:hr="t" fillcolor="#a0a0a0" stroked="f"/>
        </w:pict>
      </w:r>
    </w:p>
    <w:p w14:paraId="0316FE48" w14:textId="77777777" w:rsidR="00144802" w:rsidRPr="00144802" w:rsidRDefault="00144802" w:rsidP="001448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802">
        <w:rPr>
          <w:rFonts w:ascii="Times New Roman" w:eastAsia="Times New Roman" w:hAnsi="Times New Roman" w:cs="Times New Roman"/>
          <w:b/>
          <w:bCs/>
          <w:kern w:val="0"/>
          <w:sz w:val="27"/>
          <w:szCs w:val="27"/>
          <w14:ligatures w14:val="none"/>
        </w:rPr>
        <w:t>TECHNICAL SKILLS</w:t>
      </w:r>
    </w:p>
    <w:p w14:paraId="2425B3D3"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Core Expertise:</w:t>
      </w:r>
      <w:r w:rsidRPr="00144802">
        <w:rPr>
          <w:rFonts w:ascii="Times New Roman" w:eastAsia="Times New Roman" w:hAnsi="Times New Roman" w:cs="Times New Roman"/>
          <w:kern w:val="0"/>
          <w14:ligatures w14:val="none"/>
        </w:rPr>
        <w:t xml:space="preserve"> Subcutaneous delivery systems, </w:t>
      </w:r>
      <w:proofErr w:type="spellStart"/>
      <w:r w:rsidRPr="00144802">
        <w:rPr>
          <w:rFonts w:ascii="Times New Roman" w:eastAsia="Times New Roman" w:hAnsi="Times New Roman" w:cs="Times New Roman"/>
          <w:kern w:val="0"/>
          <w14:ligatures w14:val="none"/>
        </w:rPr>
        <w:t>mAb</w:t>
      </w:r>
      <w:proofErr w:type="spellEnd"/>
      <w:r w:rsidRPr="00144802">
        <w:rPr>
          <w:rFonts w:ascii="Times New Roman" w:eastAsia="Times New Roman" w:hAnsi="Times New Roman" w:cs="Times New Roman"/>
          <w:kern w:val="0"/>
          <w14:ligatures w14:val="none"/>
        </w:rPr>
        <w:t xml:space="preserve"> formulation/device interface, CDMO technical leadership, manufacturing scale-up, device lifecycle management</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Device Platforms:</w:t>
      </w:r>
      <w:r w:rsidRPr="00144802">
        <w:rPr>
          <w:rFonts w:ascii="Times New Roman" w:eastAsia="Times New Roman" w:hAnsi="Times New Roman" w:cs="Times New Roman"/>
          <w:kern w:val="0"/>
          <w14:ligatures w14:val="none"/>
        </w:rPr>
        <w:t xml:space="preserve"> Prefilled syringes (glass/polymer), autoinjectors (disposable/reusable), pen systems, wearable infusion pumps</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Regulatory &amp; Quality:</w:t>
      </w:r>
      <w:r w:rsidRPr="00144802">
        <w:rPr>
          <w:rFonts w:ascii="Times New Roman" w:eastAsia="Times New Roman" w:hAnsi="Times New Roman" w:cs="Times New Roman"/>
          <w:kern w:val="0"/>
          <w14:ligatures w14:val="none"/>
        </w:rPr>
        <w:t xml:space="preserve"> FDA combination product regulations (21 CFR 4), ISO 13485, ISO 14971, ICH Q8-Q11, EU MDR</w:t>
      </w:r>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Technical Capabilities:</w:t>
      </w:r>
      <w:r w:rsidRPr="00144802">
        <w:rPr>
          <w:rFonts w:ascii="Times New Roman" w:eastAsia="Times New Roman" w:hAnsi="Times New Roman" w:cs="Times New Roman"/>
          <w:kern w:val="0"/>
          <w14:ligatures w14:val="none"/>
        </w:rPr>
        <w:t xml:space="preserve"> Materials characterization, failure analysis, process validation, Design of Experiments, human factors engineering, extractables/</w:t>
      </w:r>
      <w:proofErr w:type="spellStart"/>
      <w:r w:rsidRPr="00144802">
        <w:rPr>
          <w:rFonts w:ascii="Times New Roman" w:eastAsia="Times New Roman" w:hAnsi="Times New Roman" w:cs="Times New Roman"/>
          <w:kern w:val="0"/>
          <w14:ligatures w14:val="none"/>
        </w:rPr>
        <w:t>leachables</w:t>
      </w:r>
      <w:proofErr w:type="spellEnd"/>
      <w:r w:rsidRPr="00144802">
        <w:rPr>
          <w:rFonts w:ascii="Times New Roman" w:eastAsia="Times New Roman" w:hAnsi="Times New Roman" w:cs="Times New Roman"/>
          <w:kern w:val="0"/>
          <w14:ligatures w14:val="none"/>
        </w:rPr>
        <w:br/>
      </w:r>
      <w:r w:rsidRPr="00144802">
        <w:rPr>
          <w:rFonts w:ascii="Times New Roman" w:eastAsia="Times New Roman" w:hAnsi="Times New Roman" w:cs="Times New Roman"/>
          <w:b/>
          <w:bCs/>
          <w:kern w:val="0"/>
          <w14:ligatures w14:val="none"/>
        </w:rPr>
        <w:t>Leadership:</w:t>
      </w:r>
      <w:r w:rsidRPr="00144802">
        <w:rPr>
          <w:rFonts w:ascii="Times New Roman" w:eastAsia="Times New Roman" w:hAnsi="Times New Roman" w:cs="Times New Roman"/>
          <w:kern w:val="0"/>
          <w14:ligatures w14:val="none"/>
        </w:rPr>
        <w:t xml:space="preserve"> Cross-functional team leadership, CDMO negotiation &amp; management, technical due diligence, strategic planning</w:t>
      </w:r>
    </w:p>
    <w:p w14:paraId="55706AD0"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lastRenderedPageBreak/>
        <w:pict w14:anchorId="335BF984">
          <v:rect id="_x0000_i1030" style="width:0;height:1.5pt" o:hralign="center" o:hrstd="t" o:hr="t" fillcolor="#a0a0a0" stroked="f"/>
        </w:pict>
      </w:r>
    </w:p>
    <w:p w14:paraId="54BE9124" w14:textId="77777777" w:rsidR="00144802" w:rsidRPr="00144802" w:rsidRDefault="00144802" w:rsidP="001448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802">
        <w:rPr>
          <w:rFonts w:ascii="Times New Roman" w:eastAsia="Times New Roman" w:hAnsi="Times New Roman" w:cs="Times New Roman"/>
          <w:b/>
          <w:bCs/>
          <w:kern w:val="0"/>
          <w:sz w:val="27"/>
          <w:szCs w:val="27"/>
          <w14:ligatures w14:val="none"/>
        </w:rPr>
        <w:t>PUBLICATIONS &amp; PRESENTATIONS</w:t>
      </w:r>
    </w:p>
    <w:p w14:paraId="2DD2FB47" w14:textId="77777777" w:rsidR="00144802" w:rsidRPr="00144802" w:rsidRDefault="00144802" w:rsidP="001448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 xml:space="preserve">"Managing Silicone Oil-Protein Interactions in High-Concentration </w:t>
      </w:r>
      <w:proofErr w:type="spellStart"/>
      <w:r w:rsidRPr="00144802">
        <w:rPr>
          <w:rFonts w:ascii="Times New Roman" w:eastAsia="Times New Roman" w:hAnsi="Times New Roman" w:cs="Times New Roman"/>
          <w:kern w:val="0"/>
          <w14:ligatures w14:val="none"/>
        </w:rPr>
        <w:t>mAb</w:t>
      </w:r>
      <w:proofErr w:type="spellEnd"/>
      <w:r w:rsidRPr="00144802">
        <w:rPr>
          <w:rFonts w:ascii="Times New Roman" w:eastAsia="Times New Roman" w:hAnsi="Times New Roman" w:cs="Times New Roman"/>
          <w:kern w:val="0"/>
          <w14:ligatures w14:val="none"/>
        </w:rPr>
        <w:t xml:space="preserve"> Prefilled Syringes." </w:t>
      </w:r>
      <w:r w:rsidRPr="00144802">
        <w:rPr>
          <w:rFonts w:ascii="Times New Roman" w:eastAsia="Times New Roman" w:hAnsi="Times New Roman" w:cs="Times New Roman"/>
          <w:i/>
          <w:iCs/>
          <w:kern w:val="0"/>
          <w14:ligatures w14:val="none"/>
        </w:rPr>
        <w:t>Journal of Pharmaceutical Sciences</w:t>
      </w:r>
      <w:r w:rsidRPr="00144802">
        <w:rPr>
          <w:rFonts w:ascii="Times New Roman" w:eastAsia="Times New Roman" w:hAnsi="Times New Roman" w:cs="Times New Roman"/>
          <w:kern w:val="0"/>
          <w14:ligatures w14:val="none"/>
        </w:rPr>
        <w:t>, 2021</w:t>
      </w:r>
    </w:p>
    <w:p w14:paraId="11FEAD89" w14:textId="77777777" w:rsidR="00144802" w:rsidRPr="00144802" w:rsidRDefault="00144802" w:rsidP="001448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"Device Development Strategies for Viscous Biologics." PDA/FDA Joint Regulatory Conference, 2022 (Invited Speaker)</w:t>
      </w:r>
    </w:p>
    <w:p w14:paraId="725412F8" w14:textId="77777777" w:rsidR="00144802" w:rsidRPr="00144802" w:rsidRDefault="00144802" w:rsidP="001448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Patent: "Autoinjector Assembly with Enhanced Dose Accuracy Control" (US Patent Application, 2023)</w:t>
      </w:r>
    </w:p>
    <w:p w14:paraId="1E68A8C2"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6A80033C">
          <v:rect id="_x0000_i1031" style="width:0;height:1.5pt" o:hralign="center" o:hrstd="t" o:hr="t" fillcolor="#a0a0a0" stroked="f"/>
        </w:pict>
      </w:r>
    </w:p>
    <w:p w14:paraId="301EED46" w14:textId="77777777" w:rsidR="00144802" w:rsidRPr="00144802" w:rsidRDefault="00144802" w:rsidP="001448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802">
        <w:rPr>
          <w:rFonts w:ascii="Times New Roman" w:eastAsia="Times New Roman" w:hAnsi="Times New Roman" w:cs="Times New Roman"/>
          <w:b/>
          <w:bCs/>
          <w:kern w:val="0"/>
          <w:sz w:val="27"/>
          <w:szCs w:val="27"/>
          <w14:ligatures w14:val="none"/>
        </w:rPr>
        <w:t>AWARDS &amp; RECOGNITION</w:t>
      </w:r>
    </w:p>
    <w:p w14:paraId="2D816541" w14:textId="77777777" w:rsidR="00144802" w:rsidRPr="00144802" w:rsidRDefault="00144802" w:rsidP="001448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Company Excellence Award</w:t>
      </w:r>
      <w:r w:rsidRPr="00144802">
        <w:rPr>
          <w:rFonts w:ascii="Times New Roman" w:eastAsia="Times New Roman" w:hAnsi="Times New Roman" w:cs="Times New Roman"/>
          <w:kern w:val="0"/>
          <w14:ligatures w14:val="none"/>
        </w:rPr>
        <w:t xml:space="preserve"> – Technical Innovation (2022)</w:t>
      </w:r>
    </w:p>
    <w:p w14:paraId="58164BBF" w14:textId="77777777" w:rsidR="00144802" w:rsidRPr="00144802" w:rsidRDefault="00144802" w:rsidP="001448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Emerging Leader Award</w:t>
      </w:r>
      <w:r w:rsidRPr="00144802">
        <w:rPr>
          <w:rFonts w:ascii="Times New Roman" w:eastAsia="Times New Roman" w:hAnsi="Times New Roman" w:cs="Times New Roman"/>
          <w:kern w:val="0"/>
          <w14:ligatures w14:val="none"/>
        </w:rPr>
        <w:t xml:space="preserve"> – Women in Bio, Regional Chapter (2019)</w:t>
      </w:r>
    </w:p>
    <w:p w14:paraId="6A64D61F"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4C08FD2C">
          <v:rect id="_x0000_i1032" style="width:0;height:1.5pt" o:hralign="center" o:hrstd="t" o:hr="t" fillcolor="#a0a0a0" stroked="f"/>
        </w:pict>
      </w:r>
    </w:p>
    <w:p w14:paraId="39774724" w14:textId="77777777" w:rsidR="00144802" w:rsidRPr="00144802" w:rsidRDefault="00144802" w:rsidP="001448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802">
        <w:rPr>
          <w:rFonts w:ascii="Times New Roman" w:eastAsia="Times New Roman" w:hAnsi="Times New Roman" w:cs="Times New Roman"/>
          <w:b/>
          <w:bCs/>
          <w:kern w:val="0"/>
          <w:sz w:val="27"/>
          <w:szCs w:val="27"/>
          <w14:ligatures w14:val="none"/>
        </w:rPr>
        <w:t>CERTIFICATIONS &amp; PROFESSIONAL DEVELOPMENT</w:t>
      </w:r>
    </w:p>
    <w:p w14:paraId="2FF10ECA" w14:textId="77777777" w:rsidR="00144802" w:rsidRPr="00144802" w:rsidRDefault="00144802" w:rsidP="001448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Certified Six Sigma Black Belt</w:t>
      </w:r>
    </w:p>
    <w:p w14:paraId="4DD125A3" w14:textId="77777777" w:rsidR="00144802" w:rsidRPr="00144802" w:rsidRDefault="00144802" w:rsidP="001448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Project Management Professional (PMP)</w:t>
      </w:r>
    </w:p>
    <w:p w14:paraId="6B9DB847" w14:textId="77777777" w:rsidR="00144802" w:rsidRPr="00144802" w:rsidRDefault="00144802" w:rsidP="001448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FDA Combination Products Workshop (Annual Participant, 2016-Present)</w:t>
      </w:r>
    </w:p>
    <w:p w14:paraId="1CB3625F"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0FE55BCD">
          <v:rect id="_x0000_i1033" style="width:0;height:1.5pt" o:hralign="center" o:hrstd="t" o:hr="t" fillcolor="#a0a0a0" stroked="f"/>
        </w:pict>
      </w:r>
    </w:p>
    <w:p w14:paraId="28D1A39D" w14:textId="77777777" w:rsidR="00144802" w:rsidRPr="00144802" w:rsidRDefault="00144802" w:rsidP="001448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802">
        <w:rPr>
          <w:rFonts w:ascii="Times New Roman" w:eastAsia="Times New Roman" w:hAnsi="Times New Roman" w:cs="Times New Roman"/>
          <w:b/>
          <w:bCs/>
          <w:kern w:val="0"/>
          <w:sz w:val="27"/>
          <w:szCs w:val="27"/>
          <w14:ligatures w14:val="none"/>
        </w:rPr>
        <w:t>PROFESSIONAL AFFILIATIONS</w:t>
      </w:r>
    </w:p>
    <w:p w14:paraId="0D7E945B" w14:textId="77777777" w:rsidR="00144802" w:rsidRPr="00144802" w:rsidRDefault="00144802" w:rsidP="001448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Board Member, Parenteral Drug Association (PDA) – Regional Chapter</w:t>
      </w:r>
    </w:p>
    <w:p w14:paraId="4C0E2420" w14:textId="77777777" w:rsidR="00144802" w:rsidRPr="00144802" w:rsidRDefault="00144802" w:rsidP="001448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Member, American Association of Pharmaceutical Scientists (AAPS)</w:t>
      </w:r>
    </w:p>
    <w:p w14:paraId="558CBAE3" w14:textId="77777777" w:rsidR="00144802" w:rsidRPr="00144802" w:rsidRDefault="00144802" w:rsidP="001448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t>Member, Society for Biomaterials</w:t>
      </w:r>
    </w:p>
    <w:p w14:paraId="12EA7973" w14:textId="77777777" w:rsidR="00144802" w:rsidRPr="00144802" w:rsidRDefault="00144802" w:rsidP="00144802">
      <w:pPr>
        <w:spacing w:after="0"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kern w:val="0"/>
          <w14:ligatures w14:val="none"/>
        </w:rPr>
        <w:pict w14:anchorId="6CFF80A4">
          <v:rect id="_x0000_i1034" style="width:0;height:1.5pt" o:hralign="center" o:hrstd="t" o:hr="t" fillcolor="#a0a0a0" stroked="f"/>
        </w:pict>
      </w:r>
    </w:p>
    <w:p w14:paraId="4841E23B" w14:textId="77777777" w:rsidR="00144802" w:rsidRPr="00144802" w:rsidRDefault="00144802" w:rsidP="00144802">
      <w:pPr>
        <w:spacing w:before="100" w:beforeAutospacing="1" w:after="100" w:afterAutospacing="1" w:line="240" w:lineRule="auto"/>
        <w:rPr>
          <w:rFonts w:ascii="Times New Roman" w:eastAsia="Times New Roman" w:hAnsi="Times New Roman" w:cs="Times New Roman"/>
          <w:kern w:val="0"/>
          <w14:ligatures w14:val="none"/>
        </w:rPr>
      </w:pPr>
      <w:r w:rsidRPr="00144802">
        <w:rPr>
          <w:rFonts w:ascii="Times New Roman" w:eastAsia="Times New Roman" w:hAnsi="Times New Roman" w:cs="Times New Roman"/>
          <w:b/>
          <w:bCs/>
          <w:kern w:val="0"/>
          <w14:ligatures w14:val="none"/>
        </w:rPr>
        <w:t>References available upon request</w:t>
      </w:r>
    </w:p>
    <w:p w14:paraId="018DD248" w14:textId="77777777" w:rsidR="00F90CB3" w:rsidRDefault="00F90CB3"/>
    <w:sectPr w:rsidR="00F90CB3" w:rsidSect="001448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90D"/>
    <w:multiLevelType w:val="multilevel"/>
    <w:tmpl w:val="98FC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58F"/>
    <w:multiLevelType w:val="multilevel"/>
    <w:tmpl w:val="30A8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571D8"/>
    <w:multiLevelType w:val="multilevel"/>
    <w:tmpl w:val="95D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234F"/>
    <w:multiLevelType w:val="multilevel"/>
    <w:tmpl w:val="973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E6EDA"/>
    <w:multiLevelType w:val="multilevel"/>
    <w:tmpl w:val="03A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D6D1F"/>
    <w:multiLevelType w:val="multilevel"/>
    <w:tmpl w:val="0AC0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548C8"/>
    <w:multiLevelType w:val="multilevel"/>
    <w:tmpl w:val="B60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C5A03"/>
    <w:multiLevelType w:val="multilevel"/>
    <w:tmpl w:val="D0BA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9593">
    <w:abstractNumId w:val="5"/>
  </w:num>
  <w:num w:numId="2" w16cid:durableId="130560343">
    <w:abstractNumId w:val="3"/>
  </w:num>
  <w:num w:numId="3" w16cid:durableId="2111117196">
    <w:abstractNumId w:val="0"/>
  </w:num>
  <w:num w:numId="4" w16cid:durableId="2015301341">
    <w:abstractNumId w:val="1"/>
  </w:num>
  <w:num w:numId="5" w16cid:durableId="1340277757">
    <w:abstractNumId w:val="6"/>
  </w:num>
  <w:num w:numId="6" w16cid:durableId="1242637553">
    <w:abstractNumId w:val="4"/>
  </w:num>
  <w:num w:numId="7" w16cid:durableId="1038042894">
    <w:abstractNumId w:val="7"/>
  </w:num>
  <w:num w:numId="8" w16cid:durableId="847600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802"/>
    <w:rsid w:val="00144802"/>
    <w:rsid w:val="005B3041"/>
    <w:rsid w:val="00801453"/>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DE66"/>
  <w15:chartTrackingRefBased/>
  <w15:docId w15:val="{46C915A0-49CE-437C-922F-D9546F08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802"/>
    <w:rPr>
      <w:rFonts w:eastAsiaTheme="majorEastAsia" w:cstheme="majorBidi"/>
      <w:color w:val="272727" w:themeColor="text1" w:themeTint="D8"/>
    </w:rPr>
  </w:style>
  <w:style w:type="paragraph" w:styleId="Title">
    <w:name w:val="Title"/>
    <w:basedOn w:val="Normal"/>
    <w:next w:val="Normal"/>
    <w:link w:val="TitleChar"/>
    <w:uiPriority w:val="10"/>
    <w:qFormat/>
    <w:rsid w:val="00144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802"/>
    <w:pPr>
      <w:spacing w:before="160"/>
      <w:jc w:val="center"/>
    </w:pPr>
    <w:rPr>
      <w:i/>
      <w:iCs/>
      <w:color w:val="404040" w:themeColor="text1" w:themeTint="BF"/>
    </w:rPr>
  </w:style>
  <w:style w:type="character" w:customStyle="1" w:styleId="QuoteChar">
    <w:name w:val="Quote Char"/>
    <w:basedOn w:val="DefaultParagraphFont"/>
    <w:link w:val="Quote"/>
    <w:uiPriority w:val="29"/>
    <w:rsid w:val="00144802"/>
    <w:rPr>
      <w:i/>
      <w:iCs/>
      <w:color w:val="404040" w:themeColor="text1" w:themeTint="BF"/>
    </w:rPr>
  </w:style>
  <w:style w:type="paragraph" w:styleId="ListParagraph">
    <w:name w:val="List Paragraph"/>
    <w:basedOn w:val="Normal"/>
    <w:uiPriority w:val="34"/>
    <w:qFormat/>
    <w:rsid w:val="00144802"/>
    <w:pPr>
      <w:ind w:left="720"/>
      <w:contextualSpacing/>
    </w:pPr>
  </w:style>
  <w:style w:type="character" w:styleId="IntenseEmphasis">
    <w:name w:val="Intense Emphasis"/>
    <w:basedOn w:val="DefaultParagraphFont"/>
    <w:uiPriority w:val="21"/>
    <w:qFormat/>
    <w:rsid w:val="00144802"/>
    <w:rPr>
      <w:i/>
      <w:iCs/>
      <w:color w:val="0F4761" w:themeColor="accent1" w:themeShade="BF"/>
    </w:rPr>
  </w:style>
  <w:style w:type="paragraph" w:styleId="IntenseQuote">
    <w:name w:val="Intense Quote"/>
    <w:basedOn w:val="Normal"/>
    <w:next w:val="Normal"/>
    <w:link w:val="IntenseQuoteChar"/>
    <w:uiPriority w:val="30"/>
    <w:qFormat/>
    <w:rsid w:val="00144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802"/>
    <w:rPr>
      <w:i/>
      <w:iCs/>
      <w:color w:val="0F4761" w:themeColor="accent1" w:themeShade="BF"/>
    </w:rPr>
  </w:style>
  <w:style w:type="character" w:styleId="IntenseReference">
    <w:name w:val="Intense Reference"/>
    <w:basedOn w:val="DefaultParagraphFont"/>
    <w:uiPriority w:val="32"/>
    <w:qFormat/>
    <w:rsid w:val="00144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09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2036</Words>
  <Characters>11609</Characters>
  <Application>Microsoft Office Word</Application>
  <DocSecurity>0</DocSecurity>
  <Lines>96</Lines>
  <Paragraphs>27</Paragraphs>
  <ScaleCrop>false</ScaleCrop>
  <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2025-09-30T15:51:00Z</dcterms:created>
  <dcterms:modified xsi:type="dcterms:W3CDTF">2025-09-30T15:53:00Z</dcterms:modified>
</cp:coreProperties>
</file>