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5A5857" wp14:paraId="03DE6DBD" wp14:textId="485B4B8A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A5857" w:rsidR="6D4933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CONFIDENTIAL CANDIDATE</w:t>
      </w:r>
    </w:p>
    <w:p xmlns:wp14="http://schemas.microsoft.com/office/word/2010/wordml" w:rsidP="605A5857" wp14:paraId="2B9933D6" wp14:textId="75FA26DD">
      <w:pPr>
        <w:pBdr>
          <w:bottom w:val="single" w:color="FF000000" w:sz="4" w:space="4"/>
        </w:pBdr>
        <w:spacing w:before="240" w:beforeAutospacing="off" w:after="240" w:afterAutospacing="off"/>
      </w:pPr>
      <w:r w:rsidRPr="605A5857" w:rsidR="6D4933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 SUMMARY</w:t>
      </w:r>
    </w:p>
    <w:p xmlns:wp14="http://schemas.microsoft.com/office/word/2010/wordml" w:rsidP="605A5857" wp14:paraId="067A3265" wp14:textId="5D66ABBA">
      <w:pPr>
        <w:spacing w:before="240" w:beforeAutospacing="off" w:after="240" w:afterAutospacing="off"/>
      </w:pP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Strategic biostatistics leader with 9+ </w:t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>years</w:t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>expertise</w:t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heme-</w:t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>onc</w:t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clinical development, advanced trial design </w:t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>methodology</w:t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FDA regulatory interactions. Demonstrated success supporting 2 oncology NDA approvals including adaptive Phase 2/3 programs and ODAC presentations. Deep </w:t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>proficiency</w:t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statistical programming oversight, data visualization for regulatory audiences, and building high-performing cross-functional partnerships. Seeking Director role at $250K to accelerate precision medicine programs through innovative statistical approaches and regulatory excellence.</w:t>
      </w:r>
    </w:p>
    <w:p xmlns:wp14="http://schemas.microsoft.com/office/word/2010/wordml" w:rsidP="605A5857" wp14:paraId="76031FEC" wp14:textId="262FD10D">
      <w:pPr>
        <w:pBdr>
          <w:bottom w:val="single" w:color="FF000000" w:sz="4" w:space="4"/>
        </w:pBdr>
        <w:spacing w:before="240" w:beforeAutospacing="off" w:after="240" w:afterAutospacing="off"/>
      </w:pPr>
      <w:r w:rsidRPr="605A5857" w:rsidR="6D4933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EXPERIENCE</w:t>
      </w:r>
    </w:p>
    <w:p xmlns:wp14="http://schemas.microsoft.com/office/word/2010/wordml" w:rsidP="605A5857" wp14:paraId="6A77F12B" wp14:textId="744A467D">
      <w:pPr>
        <w:spacing w:before="240" w:beforeAutospacing="off" w:after="240" w:afterAutospacing="off"/>
      </w:pPr>
      <w:r w:rsidRPr="605A5857" w:rsidR="6D4933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Associate Director, Biostatistics</w:t>
      </w:r>
      <w:r>
        <w:br/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5A5857" w:rsidR="6D4933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Confidential Pharma - Oncology Division</w:t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New York, NY | January 2020 – Present</w:t>
      </w:r>
    </w:p>
    <w:p xmlns:wp14="http://schemas.microsoft.com/office/word/2010/wordml" w:rsidP="605A5857" wp14:paraId="77A4BFE2" wp14:textId="7076E6A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>Served as statistical lead for 2 successful NDA submissions in acute myeloid leukemia and non-Hodgkin lymphoma, achieving FDA approval within 10 months of submission</w:t>
      </w:r>
    </w:p>
    <w:p xmlns:wp14="http://schemas.microsoft.com/office/word/2010/wordml" w:rsidP="605A5857" wp14:paraId="653860FE" wp14:textId="0943487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>Designed adaptive Phase 2/3 seamless trial incorporating interim futility and efficacy analyses, resulting in 12-month acceleration to pivotal readout</w:t>
      </w:r>
    </w:p>
    <w:p xmlns:wp14="http://schemas.microsoft.com/office/word/2010/wordml" w:rsidP="605A5857" wp14:paraId="46F393F1" wp14:textId="0CED8E8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>Led statistical strategy for FDA ODAC (Oncologic Drugs Advisory Committee) presentation, including data visualization and statistical briefing materials that contributed to 14-2 favorable vote</w:t>
      </w:r>
    </w:p>
    <w:p xmlns:wp14="http://schemas.microsoft.com/office/word/2010/wordml" w:rsidP="605A5857" wp14:paraId="73E5A9B6" wp14:textId="501AC0E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>Managed team of 6 biostatisticians and 8 statistical programmers supporting $1.2B heme-onc portfolio</w:t>
      </w:r>
    </w:p>
    <w:p xmlns:wp14="http://schemas.microsoft.com/office/word/2010/wordml" w:rsidP="605A5857" wp14:paraId="137344F0" wp14:textId="2A739C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>Authored 20+ SAPs, contributed to 15 regulatory submissions, and conducted QC reviews of all key statistical deliverables</w:t>
      </w:r>
    </w:p>
    <w:p xmlns:wp14="http://schemas.microsoft.com/office/word/2010/wordml" w:rsidP="605A5857" wp14:paraId="482F7098" wp14:textId="7F503E6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>Pioneered use of propensity score matching for external control arm construction in rare disease indication, reducing trial cost by $18M</w:t>
      </w:r>
    </w:p>
    <w:p xmlns:wp14="http://schemas.microsoft.com/office/word/2010/wordml" w:rsidP="605A5857" wp14:paraId="26656F72" wp14:textId="5BD6C71F">
      <w:pPr>
        <w:spacing w:before="240" w:beforeAutospacing="off" w:after="240" w:afterAutospacing="off"/>
      </w:pPr>
      <w:r w:rsidRPr="605A5857" w:rsidR="6D4933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Senior Biostatistician</w:t>
      </w:r>
      <w:r>
        <w:br/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5A5857" w:rsidR="6D4933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Confidential Biosciences</w:t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Cambridge, MA | March 2016 – December 2019</w:t>
      </w:r>
    </w:p>
    <w:p xmlns:wp14="http://schemas.microsoft.com/office/word/2010/wordml" w:rsidP="605A5857" wp14:paraId="6BC18660" wp14:textId="3B248E7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>Supported biostatistics strategy for 4 Phase 1/2 hematology trials in CAR-T and bispecific antibody programs</w:t>
      </w:r>
    </w:p>
    <w:p xmlns:wp14="http://schemas.microsoft.com/office/word/2010/wordml" w:rsidP="605A5857" wp14:paraId="2F6A370A" wp14:textId="79A0237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>Designed innovative Bayesian dose-escalation trials (CRM, EWOC models) for first-in-human oncology studies</w:t>
      </w:r>
    </w:p>
    <w:p xmlns:wp14="http://schemas.microsoft.com/office/word/2010/wordml" w:rsidP="605A5857" wp14:paraId="34CE84FC" wp14:textId="70DC70A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>Collaborated with clinical science, regulatory affairs, and medical affairs on evidence generation and publication strategy</w:t>
      </w:r>
    </w:p>
    <w:p xmlns:wp14="http://schemas.microsoft.com/office/word/2010/wordml" w:rsidP="605A5857" wp14:paraId="2F8975C9" wp14:textId="0ED500F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>Performed complex survival analyses, longitudinal data modeling (mixed models, GEE), and safety signal detection</w:t>
      </w:r>
    </w:p>
    <w:p xmlns:wp14="http://schemas.microsoft.com/office/word/2010/wordml" w:rsidP="605A5857" wp14:paraId="14228C9E" wp14:textId="2CE057C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>Trained 12 clinical team members on statistical interpretation and regulatory biostatistics requirements</w:t>
      </w:r>
    </w:p>
    <w:p xmlns:wp14="http://schemas.microsoft.com/office/word/2010/wordml" w:rsidP="605A5857" wp14:paraId="275F0B82" wp14:textId="41919D51">
      <w:pPr>
        <w:spacing w:before="240" w:beforeAutospacing="off" w:after="240" w:afterAutospacing="off"/>
      </w:pPr>
      <w:r w:rsidRPr="605A5857" w:rsidR="6D4933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Biostatistician</w:t>
      </w:r>
      <w:r>
        <w:br/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5A5857" w:rsidR="6D4933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Confidential Therapeutics</w:t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South San Francisco, CA | July 2014 – February 2016</w:t>
      </w:r>
    </w:p>
    <w:p xmlns:wp14="http://schemas.microsoft.com/office/word/2010/wordml" w:rsidP="605A5857" wp14:paraId="347A89DF" wp14:textId="093D784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>Conducted statistical analyses for 3 Phase 3 oncology trials in multiple myeloma and solid tumors</w:t>
      </w:r>
    </w:p>
    <w:p xmlns:wp14="http://schemas.microsoft.com/office/word/2010/wordml" w:rsidP="605A5857" wp14:paraId="7BC772EC" wp14:textId="35FE6A2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>Validated statistical programming deliverables including SDTM, ADaM datasets, and define.xml files</w:t>
      </w:r>
    </w:p>
    <w:p xmlns:wp14="http://schemas.microsoft.com/office/word/2010/wordml" w:rsidP="605A5857" wp14:paraId="049D9641" wp14:textId="5445D1D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>Supported FDA interactions including responses to information requests and statistical reviewer questions</w:t>
      </w:r>
    </w:p>
    <w:p xmlns:wp14="http://schemas.microsoft.com/office/word/2010/wordml" w:rsidP="605A5857" wp14:paraId="45918A6F" wp14:textId="58CBD1D2">
      <w:pPr>
        <w:pBdr>
          <w:bottom w:val="single" w:color="FF000000" w:sz="4" w:space="4"/>
        </w:pBdr>
        <w:spacing w:before="240" w:beforeAutospacing="off" w:after="240" w:afterAutospacing="off"/>
      </w:pPr>
      <w:r w:rsidRPr="605A5857" w:rsidR="6D4933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EDUCATION</w:t>
      </w:r>
    </w:p>
    <w:p xmlns:wp14="http://schemas.microsoft.com/office/word/2010/wordml" w:rsidP="605A5857" wp14:paraId="1D4432DF" wp14:textId="47B398F2">
      <w:pPr>
        <w:spacing w:before="240" w:beforeAutospacing="off" w:after="240" w:afterAutospacing="off"/>
      </w:pPr>
      <w:r w:rsidRPr="605A5857" w:rsidR="6D4933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PhD, Biostatistics</w:t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Confidential University, Boston, MA | 2014</w:t>
      </w:r>
      <w:r>
        <w:br/>
      </w:r>
      <w:r w:rsidRPr="605A5857" w:rsidR="6D4933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MS, Biostatistics</w:t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Confidential University, Berkeley, CA | 2011</w:t>
      </w:r>
      <w:r>
        <w:br/>
      </w:r>
      <w:r w:rsidRPr="605A5857" w:rsidR="6D4933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BA, Mathematics &amp; Biology</w:t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Confidential University, California | 2009</w:t>
      </w:r>
    </w:p>
    <w:p xmlns:wp14="http://schemas.microsoft.com/office/word/2010/wordml" w:rsidP="605A5857" wp14:paraId="51572163" wp14:textId="7275BE65">
      <w:pPr>
        <w:pBdr>
          <w:bottom w:val="single" w:color="FF000000" w:sz="4" w:space="4"/>
        </w:pBdr>
        <w:spacing w:before="240" w:beforeAutospacing="off" w:after="240" w:afterAutospacing="off"/>
      </w:pPr>
      <w:r w:rsidRPr="605A5857" w:rsidR="6D4933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TECHNICAL SKILLS</w:t>
      </w:r>
    </w:p>
    <w:p xmlns:wp14="http://schemas.microsoft.com/office/word/2010/wordml" w:rsidP="605A5857" wp14:paraId="785A80B4" wp14:textId="44A0A1C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A5857" w:rsidR="6D4933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Statistical Platforms:</w:t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SAS (BASE, STAT, GRAPH, MACRO), R (tidyverse, survival, rstan), Python (pandas, scipy)</w:t>
      </w:r>
    </w:p>
    <w:p xmlns:wp14="http://schemas.microsoft.com/office/word/2010/wordml" w:rsidP="605A5857" wp14:paraId="674B3499" wp14:textId="726A0AC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A5857" w:rsidR="6D4933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Regulatory Expertise:</w:t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FDA ODAC presentations, ICH E3/E9, CDISC standards, orphan drug designations</w:t>
      </w:r>
    </w:p>
    <w:p xmlns:wp14="http://schemas.microsoft.com/office/word/2010/wordml" w:rsidP="605A5857" wp14:paraId="29423EA4" wp14:textId="2A83774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A5857" w:rsidR="6D4933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Advanced Methods:</w:t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Bayesian adaptive designs, propensity score methods, external control arms, survival modeling</w:t>
      </w:r>
    </w:p>
    <w:p xmlns:wp14="http://schemas.microsoft.com/office/word/2010/wordml" w:rsidP="605A5857" wp14:paraId="76EC79DC" wp14:textId="35D9812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A5857" w:rsidR="6D4933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Heme-Onc Domain:</w:t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AML, ALL, lymphomas, multiple myeloma, CAR-T therapies, ELN response criteria</w:t>
      </w:r>
    </w:p>
    <w:p xmlns:wp14="http://schemas.microsoft.com/office/word/2010/wordml" w:rsidP="605A5857" wp14:paraId="5E3FD12B" wp14:textId="27FC9EFF">
      <w:pPr>
        <w:pBdr>
          <w:bottom w:val="single" w:color="FF000000" w:sz="4" w:space="4"/>
        </w:pBdr>
        <w:spacing w:before="240" w:beforeAutospacing="off" w:after="240" w:afterAutospacing="off"/>
      </w:pPr>
      <w:r w:rsidRPr="605A5857" w:rsidR="6D4933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SELECTED ACCOMPLISHMENTS</w:t>
      </w:r>
    </w:p>
    <w:p xmlns:wp14="http://schemas.microsoft.com/office/word/2010/wordml" w:rsidP="605A5857" wp14:paraId="4369A35C" wp14:textId="3858124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>Lead statistician for 2 FDA-approved heme-onc therapies generating $800M+ in annual revenue</w:t>
      </w:r>
    </w:p>
    <w:p xmlns:wp14="http://schemas.microsoft.com/office/word/2010/wordml" w:rsidP="605A5857" wp14:paraId="0630CBB2" wp14:textId="122906D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Published 14 peer-reviewed manuscripts in </w:t>
      </w:r>
      <w:r w:rsidRPr="605A5857" w:rsidR="6D4933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Blood</w:t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05A5857" w:rsidR="6D4933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Lancet Oncology</w:t>
      </w: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605A5857" w:rsidR="6D4933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JCO</w:t>
      </w:r>
    </w:p>
    <w:p xmlns:wp14="http://schemas.microsoft.com/office/word/2010/wordml" w:rsidP="605A5857" wp14:paraId="0C03F746" wp14:textId="5EE9421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>Awarded "Excellence in Regulatory Science" Award for ODAC presentation strategy (2023)</w:t>
      </w:r>
    </w:p>
    <w:p xmlns:wp14="http://schemas.microsoft.com/office/word/2010/wordml" w:rsidP="605A5857" wp14:paraId="4010C7F9" wp14:textId="7D92B33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A5857" w:rsidR="6D49338A">
        <w:rPr>
          <w:rFonts w:ascii="Aptos" w:hAnsi="Aptos" w:eastAsia="Aptos" w:cs="Aptos"/>
          <w:noProof w:val="0"/>
          <w:sz w:val="24"/>
          <w:szCs w:val="24"/>
          <w:lang w:val="en-US"/>
        </w:rPr>
        <w:t>Invited faculty member, FDA/Industry Statistics Workshop (2022, 2024)</w:t>
      </w:r>
    </w:p>
    <w:p xmlns:wp14="http://schemas.microsoft.com/office/word/2010/wordml" wp14:paraId="2C078E63" wp14:textId="63214DA1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622f9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bf9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7e1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ac43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0d0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B62475"/>
    <w:rsid w:val="01788169"/>
    <w:rsid w:val="38A5447D"/>
    <w:rsid w:val="3A1D5A89"/>
    <w:rsid w:val="43B62475"/>
    <w:rsid w:val="4BD873E3"/>
    <w:rsid w:val="605A5857"/>
    <w:rsid w:val="6D49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62475"/>
  <w15:chartTrackingRefBased/>
  <w15:docId w15:val="{586CF0DA-9170-49EE-AADD-92214EEDD9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05A5857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05A585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13972363e23496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2025-10-22T18:40:44.9777106Z</dcterms:created>
  <dcterms:modified xsi:type="dcterms:W3CDTF">2025-10-22T21:15:04.9494802Z</dcterms:modified>
  <dc:creator>Bryan Blair</dc:creator>
  <lastModifiedBy>Bryan Blair</lastModifiedBy>
</coreProperties>
</file>