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9FF2" w14:textId="3FD5489C" w:rsidR="004A4D76" w:rsidRDefault="004A4D76" w:rsidP="004A4D76">
      <w:pPr>
        <w:pStyle w:val="whitespace-normal"/>
        <w:jc w:val="center"/>
      </w:pPr>
      <w:r w:rsidRPr="004A4D76">
        <w:rPr>
          <w:rStyle w:val="Strong"/>
          <w:rFonts w:eastAsiaTheme="majorEastAsia"/>
          <w:sz w:val="32"/>
          <w:szCs w:val="32"/>
        </w:rPr>
        <w:t>CONFIDENTIAL CANDIDATE, MD, PhD</w:t>
      </w:r>
      <w:r>
        <w:br/>
        <w:t>Boston, MA</w:t>
      </w:r>
    </w:p>
    <w:p w14:paraId="7056EED6" w14:textId="77777777" w:rsidR="004A4D76" w:rsidRDefault="004A4D76" w:rsidP="004A4D76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5215858C" w14:textId="77777777" w:rsidR="004A4D76" w:rsidRDefault="004A4D76" w:rsidP="004A4D76">
      <w:pPr>
        <w:pStyle w:val="whitespace-normal"/>
      </w:pPr>
      <w:r>
        <w:t>Dual-trained physician-scientist with 15+ years experience bridging clinical oncology, genomic laboratory operations, and commercial diagnostics. Expertise in GCP-compliant clinical trial execution, CLIA laboratory quality systems, and payor engagement strategies. Currently leading clinical operations at CAP-accredited molecular diagnostics lab specializing in head &amp; neck cancer. Open to VP-level opportunity around $450k in Boston metro area.</w:t>
      </w:r>
    </w:p>
    <w:p w14:paraId="1EB124CD" w14:textId="77777777" w:rsidR="004A4D76" w:rsidRDefault="004A4D76" w:rsidP="004A4D76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EXPERIENCE</w:t>
      </w:r>
    </w:p>
    <w:p w14:paraId="0CDD9741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t>Vice President, Clinical Operations &amp; Laboratory Partnerships</w:t>
      </w:r>
      <w:r>
        <w:br/>
      </w:r>
      <w:r>
        <w:rPr>
          <w:rStyle w:val="Emphasis"/>
          <w:rFonts w:eastAsiaTheme="majorEastAsia"/>
        </w:rPr>
        <w:t>Confidential Molecular Diagnostics, Waltham, MA | 2018 – Present</w:t>
      </w:r>
    </w:p>
    <w:p w14:paraId="2C0056BB" w14:textId="77777777" w:rsidR="004A4D76" w:rsidRDefault="004A4D76" w:rsidP="004A4D76">
      <w:pPr>
        <w:pStyle w:val="whitespace-normal"/>
        <w:numPr>
          <w:ilvl w:val="0"/>
          <w:numId w:val="1"/>
        </w:numPr>
      </w:pPr>
      <w:r>
        <w:t>Oversee CAP-accredited, CLIA-certified high-complexity laboratory performing 8,000+ genomic tests annually for HPV-related cancers</w:t>
      </w:r>
    </w:p>
    <w:p w14:paraId="240C0DAA" w14:textId="77777777" w:rsidR="004A4D76" w:rsidRDefault="004A4D76" w:rsidP="004A4D76">
      <w:pPr>
        <w:pStyle w:val="whitespace-normal"/>
        <w:numPr>
          <w:ilvl w:val="0"/>
          <w:numId w:val="1"/>
        </w:numPr>
      </w:pPr>
      <w:r>
        <w:t>Lead team of 12 (clinical scientists, lab operations, quality assurance) ensuring compliance with CAP, CLIA, and NY State DOH Wadsworth requirements</w:t>
      </w:r>
    </w:p>
    <w:p w14:paraId="7D750267" w14:textId="77777777" w:rsidR="004A4D76" w:rsidRDefault="004A4D76" w:rsidP="004A4D76">
      <w:pPr>
        <w:pStyle w:val="whitespace-normal"/>
        <w:numPr>
          <w:ilvl w:val="0"/>
          <w:numId w:val="1"/>
        </w:numPr>
      </w:pPr>
      <w:r>
        <w:t>Direct clinical trial collaborations with 8 academic medical centers and 3 biopharma partners, managing $4.5M in sponsored research</w:t>
      </w:r>
    </w:p>
    <w:p w14:paraId="0CEA2CD8" w14:textId="77777777" w:rsidR="004A4D76" w:rsidRDefault="004A4D76" w:rsidP="004A4D76">
      <w:pPr>
        <w:pStyle w:val="whitespace-normal"/>
        <w:numPr>
          <w:ilvl w:val="0"/>
          <w:numId w:val="1"/>
        </w:numPr>
      </w:pPr>
      <w:proofErr w:type="gramStart"/>
      <w:r>
        <w:t>Develop payor</w:t>
      </w:r>
      <w:proofErr w:type="gramEnd"/>
      <w:r>
        <w:t xml:space="preserve"> evidence dossiers resulting in positive coverage policies from Medicare and 6 national commercial insurers</w:t>
      </w:r>
    </w:p>
    <w:p w14:paraId="0EC72507" w14:textId="77777777" w:rsidR="004A4D76" w:rsidRDefault="004A4D76" w:rsidP="004A4D76">
      <w:pPr>
        <w:pStyle w:val="whitespace-normal"/>
        <w:numPr>
          <w:ilvl w:val="0"/>
          <w:numId w:val="1"/>
        </w:numPr>
      </w:pPr>
      <w:r>
        <w:t>Build provider education program reaching 1,200+ oncologists, surgeons, and radiation oncologists through peer-to-peer consultation service</w:t>
      </w:r>
    </w:p>
    <w:p w14:paraId="08E426C2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t>Medical Director, Evidence Generation</w:t>
      </w:r>
      <w:r>
        <w:br/>
      </w:r>
      <w:r>
        <w:rPr>
          <w:rStyle w:val="Emphasis"/>
          <w:rFonts w:eastAsiaTheme="majorEastAsia"/>
        </w:rPr>
        <w:t>Confidential Molecular Diagnostics, Waltham, MA | 2015 – 2018</w:t>
      </w:r>
    </w:p>
    <w:p w14:paraId="33AF9035" w14:textId="77777777" w:rsidR="004A4D76" w:rsidRDefault="004A4D76" w:rsidP="004A4D76">
      <w:pPr>
        <w:pStyle w:val="whitespace-normal"/>
        <w:numPr>
          <w:ilvl w:val="0"/>
          <w:numId w:val="2"/>
        </w:numPr>
      </w:pPr>
      <w:r>
        <w:t>Designed and executed 5-year evidence roadmap aligned to regulatory (ADLT designation) and reimbursement strategies</w:t>
      </w:r>
    </w:p>
    <w:p w14:paraId="713C0FC7" w14:textId="77777777" w:rsidR="004A4D76" w:rsidRDefault="004A4D76" w:rsidP="004A4D76">
      <w:pPr>
        <w:pStyle w:val="whitespace-normal"/>
        <w:numPr>
          <w:ilvl w:val="0"/>
          <w:numId w:val="2"/>
        </w:numPr>
      </w:pPr>
      <w:r>
        <w:t>Led retrospective and prospective studies (n=600+ patients) establishing clinical validity for MRD monitoring in head &amp; neck squamous cell carcinoma</w:t>
      </w:r>
    </w:p>
    <w:p w14:paraId="28362CEC" w14:textId="77777777" w:rsidR="004A4D76" w:rsidRDefault="004A4D76" w:rsidP="004A4D76">
      <w:pPr>
        <w:pStyle w:val="whitespace-normal"/>
        <w:numPr>
          <w:ilvl w:val="0"/>
          <w:numId w:val="2"/>
        </w:numPr>
      </w:pPr>
      <w:r>
        <w:t xml:space="preserve">Published 8 manuscripts in </w:t>
      </w:r>
      <w:r>
        <w:rPr>
          <w:rStyle w:val="Emphasis"/>
          <w:rFonts w:eastAsiaTheme="majorEastAsia"/>
        </w:rPr>
        <w:t>Annals of Oncology</w:t>
      </w:r>
      <w:r>
        <w:t xml:space="preserve">, </w:t>
      </w:r>
      <w:r>
        <w:rPr>
          <w:rStyle w:val="Emphasis"/>
          <w:rFonts w:eastAsiaTheme="majorEastAsia"/>
        </w:rPr>
        <w:t>Head &amp; Neck</w:t>
      </w:r>
      <w:r>
        <w:t xml:space="preserve">, and </w:t>
      </w:r>
      <w:r>
        <w:rPr>
          <w:rStyle w:val="Emphasis"/>
          <w:rFonts w:eastAsiaTheme="majorEastAsia"/>
        </w:rPr>
        <w:t>Laryngoscope</w:t>
      </w:r>
    </w:p>
    <w:p w14:paraId="4166154D" w14:textId="77777777" w:rsidR="004A4D76" w:rsidRDefault="004A4D76" w:rsidP="004A4D76">
      <w:pPr>
        <w:pStyle w:val="whitespace-normal"/>
        <w:numPr>
          <w:ilvl w:val="0"/>
          <w:numId w:val="2"/>
        </w:numPr>
      </w:pPr>
      <w:r>
        <w:t>Interfaced with Medical Laboratory Director to ensure quality metrics for research sample processing</w:t>
      </w:r>
    </w:p>
    <w:p w14:paraId="044C1453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t>Staff Physician, Head &amp; Neck Oncology</w:t>
      </w:r>
      <w:r>
        <w:br/>
      </w:r>
      <w:r>
        <w:rPr>
          <w:rStyle w:val="Emphasis"/>
          <w:rFonts w:eastAsiaTheme="majorEastAsia"/>
        </w:rPr>
        <w:t>Confidential Cancer Center, Boston, MA | 2010 – 2015</w:t>
      </w:r>
    </w:p>
    <w:p w14:paraId="75B47676" w14:textId="77777777" w:rsidR="004A4D76" w:rsidRDefault="004A4D76" w:rsidP="004A4D76">
      <w:pPr>
        <w:pStyle w:val="whitespace-normal"/>
        <w:numPr>
          <w:ilvl w:val="0"/>
          <w:numId w:val="3"/>
        </w:numPr>
      </w:pPr>
      <w:r>
        <w:t>Treated 300+ patients annually in multidisciplinary head &amp; neck cancer program</w:t>
      </w:r>
    </w:p>
    <w:p w14:paraId="2731838E" w14:textId="77777777" w:rsidR="004A4D76" w:rsidRDefault="004A4D76" w:rsidP="004A4D76">
      <w:pPr>
        <w:pStyle w:val="whitespace-normal"/>
        <w:numPr>
          <w:ilvl w:val="0"/>
          <w:numId w:val="3"/>
        </w:numPr>
      </w:pPr>
      <w:r>
        <w:t>Site PI for 12 clinical trials evaluating novel systemic therapies and radiation approaches</w:t>
      </w:r>
    </w:p>
    <w:p w14:paraId="3190ADA3" w14:textId="77777777" w:rsidR="004A4D76" w:rsidRDefault="004A4D76" w:rsidP="004A4D76">
      <w:pPr>
        <w:pStyle w:val="whitespace-normal"/>
        <w:numPr>
          <w:ilvl w:val="0"/>
          <w:numId w:val="3"/>
        </w:numPr>
      </w:pPr>
      <w:r>
        <w:t>Served on tumor board and quality committee for NCCN-designated program</w:t>
      </w:r>
    </w:p>
    <w:p w14:paraId="166211E5" w14:textId="77777777" w:rsidR="004A4D76" w:rsidRDefault="004A4D76" w:rsidP="004A4D76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4B554333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t>Fellowship, Head &amp; Neck Medical Oncology</w:t>
      </w:r>
      <w:r>
        <w:br/>
        <w:t>Confidential Cancer Center, TX | 2008 – 2010</w:t>
      </w:r>
    </w:p>
    <w:p w14:paraId="20FFE088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t>Residency, Internal Medicine</w:t>
      </w:r>
      <w:r>
        <w:br/>
        <w:t>Confidential Academic Hospital, Boston, MA | 2005 – 2008</w:t>
      </w:r>
    </w:p>
    <w:p w14:paraId="1355958E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lastRenderedPageBreak/>
        <w:t>MD, Doctor of Medicine</w:t>
      </w:r>
      <w:r>
        <w:br/>
        <w:t>Confidential Medical School, Boston, MA | 2005</w:t>
      </w:r>
    </w:p>
    <w:p w14:paraId="55571B63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t>PhD, Cancer Biology</w:t>
      </w:r>
      <w:r>
        <w:br/>
        <w:t>Confidential University, MA | 2001</w:t>
      </w:r>
    </w:p>
    <w:p w14:paraId="09C284A7" w14:textId="77777777" w:rsidR="004A4D76" w:rsidRDefault="004A4D76" w:rsidP="004A4D76">
      <w:pPr>
        <w:pStyle w:val="whitespace-normal"/>
      </w:pPr>
      <w:r>
        <w:rPr>
          <w:rStyle w:val="Strong"/>
          <w:rFonts w:eastAsiaTheme="majorEastAsia"/>
        </w:rPr>
        <w:t>BS, Biochemistry</w:t>
      </w:r>
      <w:r>
        <w:br/>
        <w:t>Confidential University, CA | 1997</w:t>
      </w:r>
    </w:p>
    <w:p w14:paraId="0667AC6D" w14:textId="77777777" w:rsidR="004A4D76" w:rsidRPr="004A4D76" w:rsidRDefault="004A4D76" w:rsidP="004A4D76">
      <w:pPr>
        <w:pStyle w:val="whitespace-normal"/>
        <w:rPr>
          <w:u w:val="single"/>
        </w:rPr>
      </w:pPr>
      <w:r w:rsidRPr="004A4D76">
        <w:rPr>
          <w:rStyle w:val="Strong"/>
          <w:rFonts w:eastAsiaTheme="majorEastAsia"/>
          <w:u w:val="single"/>
        </w:rPr>
        <w:t>CERTIFICATIONS &amp; LICENSES</w:t>
      </w:r>
    </w:p>
    <w:p w14:paraId="524E7616" w14:textId="77777777" w:rsidR="004A4D76" w:rsidRDefault="004A4D76" w:rsidP="004A4D76">
      <w:pPr>
        <w:pStyle w:val="whitespace-normal"/>
        <w:numPr>
          <w:ilvl w:val="0"/>
          <w:numId w:val="4"/>
        </w:numPr>
      </w:pPr>
      <w:r>
        <w:t>Board Certified, Medical Oncology (ABIM)</w:t>
      </w:r>
    </w:p>
    <w:p w14:paraId="27151571" w14:textId="77777777" w:rsidR="004A4D76" w:rsidRDefault="004A4D76" w:rsidP="004A4D76">
      <w:pPr>
        <w:pStyle w:val="whitespace-normal"/>
        <w:numPr>
          <w:ilvl w:val="0"/>
          <w:numId w:val="4"/>
        </w:numPr>
      </w:pPr>
      <w:r>
        <w:t>Board Certified, Internal Medicine (ABIM)</w:t>
      </w:r>
    </w:p>
    <w:p w14:paraId="6EE455A8" w14:textId="77777777" w:rsidR="004A4D76" w:rsidRDefault="004A4D76" w:rsidP="004A4D76">
      <w:pPr>
        <w:pStyle w:val="whitespace-normal"/>
        <w:numPr>
          <w:ilvl w:val="0"/>
          <w:numId w:val="4"/>
        </w:numPr>
      </w:pPr>
      <w:r>
        <w:t>Licensed to practice medicine: Massachusetts, Texas, North Carolina</w:t>
      </w:r>
    </w:p>
    <w:p w14:paraId="48B7046B" w14:textId="77777777" w:rsidR="004A4D76" w:rsidRPr="004A4D76" w:rsidRDefault="004A4D76" w:rsidP="004A4D76">
      <w:pPr>
        <w:pStyle w:val="whitespace-normal"/>
        <w:rPr>
          <w:u w:val="single"/>
        </w:rPr>
      </w:pPr>
      <w:r w:rsidRPr="004A4D76">
        <w:rPr>
          <w:rStyle w:val="Strong"/>
          <w:rFonts w:eastAsiaTheme="majorEastAsia"/>
          <w:u w:val="single"/>
        </w:rPr>
        <w:t>PUBLICATIONS &amp; LEADERSHIP</w:t>
      </w:r>
    </w:p>
    <w:p w14:paraId="30315669" w14:textId="77777777" w:rsidR="004A4D76" w:rsidRDefault="004A4D76" w:rsidP="004A4D76">
      <w:pPr>
        <w:pStyle w:val="whitespace-normal"/>
        <w:numPr>
          <w:ilvl w:val="0"/>
          <w:numId w:val="5"/>
        </w:numPr>
      </w:pPr>
      <w:r>
        <w:t>32 peer-reviewed publications (h-index: 18) in top-tier oncology and pathology journals</w:t>
      </w:r>
    </w:p>
    <w:p w14:paraId="6FCCD64E" w14:textId="77777777" w:rsidR="004A4D76" w:rsidRDefault="004A4D76" w:rsidP="004A4D76">
      <w:pPr>
        <w:pStyle w:val="whitespace-normal"/>
        <w:numPr>
          <w:ilvl w:val="0"/>
          <w:numId w:val="5"/>
        </w:numPr>
      </w:pPr>
      <w:r>
        <w:t xml:space="preserve">Editorial board member, </w:t>
      </w:r>
      <w:r>
        <w:rPr>
          <w:rStyle w:val="Emphasis"/>
          <w:rFonts w:eastAsiaTheme="majorEastAsia"/>
        </w:rPr>
        <w:t>Journal of Molecular Diagnostics</w:t>
      </w:r>
    </w:p>
    <w:p w14:paraId="20465836" w14:textId="77777777" w:rsidR="004A4D76" w:rsidRDefault="004A4D76" w:rsidP="004A4D76">
      <w:pPr>
        <w:pStyle w:val="whitespace-normal"/>
        <w:numPr>
          <w:ilvl w:val="0"/>
          <w:numId w:val="5"/>
        </w:numPr>
      </w:pPr>
      <w:r>
        <w:t>NCCN Guidelines Panel contributor (Head &amp; Neck Cancers)</w:t>
      </w:r>
    </w:p>
    <w:p w14:paraId="45B2DC6B" w14:textId="77777777" w:rsidR="004A4D76" w:rsidRDefault="004A4D76" w:rsidP="004A4D76">
      <w:pPr>
        <w:pStyle w:val="whitespace-normal"/>
        <w:numPr>
          <w:ilvl w:val="0"/>
          <w:numId w:val="5"/>
        </w:numPr>
      </w:pPr>
      <w:r>
        <w:t>40+ invited presentations at CAP, ASCO, AHNS annual meetings</w:t>
      </w:r>
    </w:p>
    <w:p w14:paraId="773CF0EE" w14:textId="77777777" w:rsidR="00DE5BC5" w:rsidRDefault="00DE5BC5"/>
    <w:sectPr w:rsidR="00DE5BC5" w:rsidSect="00FA1A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ADB"/>
    <w:multiLevelType w:val="multilevel"/>
    <w:tmpl w:val="3AC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634"/>
    <w:multiLevelType w:val="multilevel"/>
    <w:tmpl w:val="F744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A28CB"/>
    <w:multiLevelType w:val="multilevel"/>
    <w:tmpl w:val="551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733CA"/>
    <w:multiLevelType w:val="multilevel"/>
    <w:tmpl w:val="27D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64605"/>
    <w:multiLevelType w:val="multilevel"/>
    <w:tmpl w:val="CD8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021605">
    <w:abstractNumId w:val="3"/>
  </w:num>
  <w:num w:numId="2" w16cid:durableId="1307202538">
    <w:abstractNumId w:val="2"/>
  </w:num>
  <w:num w:numId="3" w16cid:durableId="830103473">
    <w:abstractNumId w:val="0"/>
  </w:num>
  <w:num w:numId="4" w16cid:durableId="641691215">
    <w:abstractNumId w:val="4"/>
  </w:num>
  <w:num w:numId="5" w16cid:durableId="2011827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F0"/>
    <w:rsid w:val="004A4D76"/>
    <w:rsid w:val="00640472"/>
    <w:rsid w:val="007206E2"/>
    <w:rsid w:val="00CE313A"/>
    <w:rsid w:val="00DE5BC5"/>
    <w:rsid w:val="00FA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531E"/>
  <w15:chartTrackingRefBased/>
  <w15:docId w15:val="{964E6A48-F635-4C6A-BA52-92168174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F0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4A4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4D76"/>
    <w:rPr>
      <w:b/>
      <w:bCs/>
    </w:rPr>
  </w:style>
  <w:style w:type="character" w:styleId="Emphasis">
    <w:name w:val="Emphasis"/>
    <w:basedOn w:val="DefaultParagraphFont"/>
    <w:uiPriority w:val="20"/>
    <w:qFormat/>
    <w:rsid w:val="004A4D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386</Words>
  <Characters>2638</Characters>
  <Application>Microsoft Office Word</Application>
  <DocSecurity>0</DocSecurity>
  <Lines>51</Lines>
  <Paragraphs>39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2025-11-10T15:29:00Z</dcterms:created>
  <dcterms:modified xsi:type="dcterms:W3CDTF">2025-11-10T18:39:00Z</dcterms:modified>
</cp:coreProperties>
</file>