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42DC" w14:textId="77777777" w:rsidR="00963AFC" w:rsidRPr="00C77172" w:rsidRDefault="00C77172" w:rsidP="00C77172">
      <w:pPr>
        <w:spacing w:after="120"/>
        <w:jc w:val="center"/>
      </w:pPr>
      <w:r w:rsidRPr="00C77172">
        <w:rPr>
          <w:b/>
          <w:bCs/>
          <w:sz w:val="28"/>
          <w:szCs w:val="28"/>
        </w:rPr>
        <w:t>CONFIDENTIAL CANDIDATE</w:t>
      </w:r>
    </w:p>
    <w:p w14:paraId="1FE5E590" w14:textId="77777777" w:rsidR="00963AFC" w:rsidRPr="00C77172" w:rsidRDefault="00963AFC"/>
    <w:p w14:paraId="51A47D95" w14:textId="77777777" w:rsidR="00963AFC" w:rsidRPr="00C77172" w:rsidRDefault="00C77172">
      <w:pPr>
        <w:spacing w:after="120"/>
      </w:pPr>
      <w:r w:rsidRPr="00C77172">
        <w:rPr>
          <w:b/>
          <w:bCs/>
          <w:sz w:val="24"/>
          <w:szCs w:val="24"/>
        </w:rPr>
        <w:t>PROFESSIONAL SUMMARY</w:t>
      </w:r>
    </w:p>
    <w:p w14:paraId="2E72A6C7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Detail-oriented Clinical Data Management professional with 7+ years of hands-on CDM experience across ophthalmology, retinal disease, and ocular inflammation programs at clinical-stage </w:t>
      </w:r>
      <w:proofErr w:type="spellStart"/>
      <w:r w:rsidRPr="00C77172">
        <w:t>biotechs</w:t>
      </w:r>
      <w:proofErr w:type="spellEnd"/>
      <w:r w:rsidRPr="00C77172">
        <w:t>.</w:t>
      </w:r>
    </w:p>
    <w:p w14:paraId="7F74FE79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Expert in EDC database design and build (Medidata Rave, Oracle </w:t>
      </w:r>
      <w:proofErr w:type="spellStart"/>
      <w:r w:rsidRPr="00C77172">
        <w:t>InForm</w:t>
      </w:r>
      <w:proofErr w:type="spellEnd"/>
      <w:r w:rsidRPr="00C77172">
        <w:t>), CDISC implementation (CDASH, SDTM), risk-based data cleaning, edit check programming, UAT, and DMP/CCG/DTA authoring.</w:t>
      </w:r>
    </w:p>
    <w:p w14:paraId="46537486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Proven track record of CRO vendor oversight, SAE reconciliation, external data integration (central lab, </w:t>
      </w:r>
      <w:proofErr w:type="spellStart"/>
      <w:r w:rsidRPr="00C77172">
        <w:t>eCOA</w:t>
      </w:r>
      <w:proofErr w:type="spellEnd"/>
      <w:r w:rsidRPr="00C77172">
        <w:t>, IRT), and TMF management across multi-site global studies.</w:t>
      </w:r>
    </w:p>
    <w:p w14:paraId="0AAA093B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Highly collaborative communicator known for driving cross-functional alignment between CDM, Biostatistics, Clinical Operations, and Regulatory. CDISC-certified. Advanced Excel; basic SAS. Greater Boston area, remote-ready. Seeking ~$158K.</w:t>
      </w:r>
    </w:p>
    <w:p w14:paraId="3830DA07" w14:textId="77777777" w:rsidR="00963AFC" w:rsidRPr="00C77172" w:rsidRDefault="00963AFC"/>
    <w:p w14:paraId="4528FDDB" w14:textId="77777777" w:rsidR="00963AFC" w:rsidRPr="00C77172" w:rsidRDefault="00C77172">
      <w:pPr>
        <w:spacing w:after="120"/>
      </w:pPr>
      <w:r w:rsidRPr="00C77172">
        <w:rPr>
          <w:b/>
          <w:bCs/>
          <w:sz w:val="24"/>
          <w:szCs w:val="24"/>
        </w:rPr>
        <w:t>PROFESSIONAL EXPERIENCE</w:t>
      </w:r>
    </w:p>
    <w:p w14:paraId="509FA70E" w14:textId="77777777" w:rsidR="00963AFC" w:rsidRPr="00C77172" w:rsidRDefault="00963AFC"/>
    <w:p w14:paraId="17D89E87" w14:textId="77777777" w:rsidR="00963AFC" w:rsidRPr="00C77172" w:rsidRDefault="00C77172">
      <w:pPr>
        <w:spacing w:after="120"/>
      </w:pPr>
      <w:r w:rsidRPr="00C77172">
        <w:rPr>
          <w:b/>
          <w:bCs/>
        </w:rPr>
        <w:t>Confidential Ophthalmic Therapeutics</w:t>
      </w:r>
      <w:r w:rsidRPr="00C77172">
        <w:t xml:space="preserve"> (Series C Biotech) | Cambridge, MA</w:t>
      </w:r>
    </w:p>
    <w:p w14:paraId="6C465DBC" w14:textId="77777777" w:rsidR="00963AFC" w:rsidRPr="00C77172" w:rsidRDefault="00C77172">
      <w:pPr>
        <w:spacing w:after="120"/>
      </w:pPr>
      <w:r w:rsidRPr="00C77172">
        <w:rPr>
          <w:b/>
          <w:bCs/>
          <w:i/>
          <w:iCs/>
        </w:rPr>
        <w:t>Lead Clinical Data Manager</w:t>
      </w:r>
    </w:p>
    <w:p w14:paraId="6286D414" w14:textId="77777777" w:rsidR="00963AFC" w:rsidRPr="00C77172" w:rsidRDefault="00C77172">
      <w:pPr>
        <w:spacing w:after="120"/>
      </w:pPr>
      <w:r w:rsidRPr="00C77172">
        <w:rPr>
          <w:i/>
          <w:iCs/>
        </w:rPr>
        <w:t>Mar 2021 - Present</w:t>
      </w:r>
    </w:p>
    <w:p w14:paraId="6982FAED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Served as Lead CDM for 3 concurrent Phase II/III ophthalmology programs (intravitreal sustained-release implant, topical anti-inflammatory, retinal gene therapy), managing end-to-end CDM deliverables across 45+ global sites.</w:t>
      </w:r>
    </w:p>
    <w:p w14:paraId="60E13302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Designed and built clinical databases in Medidata Rave including CRF design, edit check specifications, dynamic field logic, and query algorithms - reducing query cycle time by 32% vs. prior studies.</w:t>
      </w:r>
    </w:p>
    <w:p w14:paraId="3A6EB68F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Led UAT execution for 6 database builds and 4 protocol amendment updates, identifying and resolving 98% of defects pre-go-live with zero critical post-deployment issues.</w:t>
      </w:r>
    </w:p>
    <w:p w14:paraId="445E55D4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Authored 12 study-specific DMPs, CCGs, DTAs, and EDC specifications with zero audit findings across 2 FDA inspections and 1 sponsor GCP audit.</w:t>
      </w:r>
    </w:p>
    <w:p w14:paraId="720F8399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Implemented CDISC CDASH-aligned CRF standards across all 3 programs, reducing downstream SDTM mapping effort by 25% and accelerating Biostatistics dataset delivery.</w:t>
      </w:r>
    </w:p>
    <w:p w14:paraId="58387FC3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Managed SAE reconciliation between EDC and safety database (Argus) on a monthly cycle, maintaining 100% reconciliation rate across 180+ reported events.</w:t>
      </w:r>
    </w:p>
    <w:p w14:paraId="0A8A4D5C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Oversaw external data transfers from central lab (Covance), </w:t>
      </w:r>
      <w:proofErr w:type="spellStart"/>
      <w:r w:rsidRPr="00C77172">
        <w:t>eCOA</w:t>
      </w:r>
      <w:proofErr w:type="spellEnd"/>
      <w:r w:rsidRPr="00C77172">
        <w:t xml:space="preserve"> vendor (Medidata Patient Cloud), and IRT system (IXRS), coordinating data integration specs and reconciliation across all programs.</w:t>
      </w:r>
    </w:p>
    <w:p w14:paraId="76C67D03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Provided direct CDM vendor oversight for 2 CROs, tracking 15+ study metrics (query aging, data entry lag, outstanding discrepancies) monthly and presenting status dashboards to cross-functional study teams.</w:t>
      </w:r>
    </w:p>
    <w:p w14:paraId="37B6DDF1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Mentored 2 junior CDM associates on GCP standards, edit check testing, and query management - creating team SOPs that reduced data cleaning turnaround by 20%.</w:t>
      </w:r>
    </w:p>
    <w:p w14:paraId="7D6D3825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Ensured all CDM essential documents filed to eTMF (Veeva Vault) within 10 business days, maintaining 100% TMF completeness verified at independent audit.</w:t>
      </w:r>
    </w:p>
    <w:p w14:paraId="620FDC39" w14:textId="77777777" w:rsidR="00963AFC" w:rsidRPr="00C77172" w:rsidRDefault="00963AFC"/>
    <w:p w14:paraId="15806F6B" w14:textId="77777777" w:rsidR="00963AFC" w:rsidRPr="00C77172" w:rsidRDefault="00C77172">
      <w:pPr>
        <w:spacing w:after="120"/>
      </w:pPr>
      <w:r w:rsidRPr="00C77172">
        <w:rPr>
          <w:b/>
          <w:bCs/>
        </w:rPr>
        <w:t>Confidential Pharma Corp</w:t>
      </w:r>
      <w:r w:rsidRPr="00C77172">
        <w:t xml:space="preserve"> | Waltham, MA</w:t>
      </w:r>
    </w:p>
    <w:p w14:paraId="7B3F273F" w14:textId="77777777" w:rsidR="00963AFC" w:rsidRPr="00C77172" w:rsidRDefault="00C77172">
      <w:pPr>
        <w:spacing w:after="120"/>
      </w:pPr>
      <w:r w:rsidRPr="00C77172">
        <w:rPr>
          <w:b/>
          <w:bCs/>
          <w:i/>
          <w:iCs/>
        </w:rPr>
        <w:t>Clinical Data Manager</w:t>
      </w:r>
    </w:p>
    <w:p w14:paraId="40D191C0" w14:textId="77777777" w:rsidR="00963AFC" w:rsidRPr="00C77172" w:rsidRDefault="00C77172">
      <w:pPr>
        <w:spacing w:after="120"/>
      </w:pPr>
      <w:r w:rsidRPr="00C77172">
        <w:rPr>
          <w:i/>
          <w:iCs/>
        </w:rPr>
        <w:t>Jun 2018 - Feb 2021</w:t>
      </w:r>
    </w:p>
    <w:p w14:paraId="42D141F3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lastRenderedPageBreak/>
        <w:t>Managed CDM operations for Phase II retinal disease program (anti-VEGF intravitreal injection) across 22 sites in the US and EU, ensuring full compliance with GCP/ICH E6(R2) guidelines.</w:t>
      </w:r>
    </w:p>
    <w:p w14:paraId="70DBE0E4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Built and tested clinical databases in Oracle </w:t>
      </w:r>
      <w:proofErr w:type="spellStart"/>
      <w:r w:rsidRPr="00C77172">
        <w:t>InForm</w:t>
      </w:r>
      <w:proofErr w:type="spellEnd"/>
      <w:r w:rsidRPr="00C77172">
        <w:t>, supporting 3 protocol amendments with zero data migration errors and maintaining database audit trail integrity.</w:t>
      </w:r>
    </w:p>
    <w:p w14:paraId="3E4F6DF5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Developed edit check specifications for 45+ CRF modules including ophthalmology-specific endpoints (BCVA, IOP, OCT measurements), reducing programmatic query volume by 38%.</w:t>
      </w:r>
    </w:p>
    <w:p w14:paraId="083A35D6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Executed risk-based data cleaning strategies aligned with ICH E6(R2) RBQM principles, reducing outstanding queries from 1,200 to 650 within 60 days of implementation.</w:t>
      </w:r>
    </w:p>
    <w:p w14:paraId="3C300073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Coordinated medical coding review (MedDRA 24.0, </w:t>
      </w:r>
      <w:proofErr w:type="spellStart"/>
      <w:r w:rsidRPr="00C77172">
        <w:t>WHODrug</w:t>
      </w:r>
      <w:proofErr w:type="spellEnd"/>
      <w:r w:rsidRPr="00C77172">
        <w:t>) with central coding team, resolving 95% of auto-coding discrepancies within 2 review cycles.</w:t>
      </w:r>
    </w:p>
    <w:p w14:paraId="188E0DFA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Supported CDM deliverables for interim analysis data package, delivering clean dataset to Biostatistics 5 business days ahead of schedule.</w:t>
      </w:r>
    </w:p>
    <w:p w14:paraId="1CBAED44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Filed all CDM study documents to TMF within SOP timelines, achieving 100% TMF completeness at sponsor audit.</w:t>
      </w:r>
    </w:p>
    <w:p w14:paraId="4A2CFB15" w14:textId="77777777" w:rsidR="00963AFC" w:rsidRPr="00C77172" w:rsidRDefault="00963AFC"/>
    <w:p w14:paraId="3AA92301" w14:textId="77777777" w:rsidR="00963AFC" w:rsidRPr="00C77172" w:rsidRDefault="00C77172">
      <w:pPr>
        <w:spacing w:after="120"/>
      </w:pPr>
      <w:r w:rsidRPr="00C77172">
        <w:rPr>
          <w:b/>
          <w:bCs/>
        </w:rPr>
        <w:t>Confidential CRO Services</w:t>
      </w:r>
      <w:r w:rsidRPr="00C77172">
        <w:t xml:space="preserve"> | Boston, MA</w:t>
      </w:r>
    </w:p>
    <w:p w14:paraId="05B0B70E" w14:textId="77777777" w:rsidR="00963AFC" w:rsidRPr="00C77172" w:rsidRDefault="00C77172">
      <w:pPr>
        <w:spacing w:after="120"/>
      </w:pPr>
      <w:r w:rsidRPr="00C77172">
        <w:rPr>
          <w:b/>
          <w:bCs/>
          <w:i/>
          <w:iCs/>
        </w:rPr>
        <w:t>Clinical Data Associate</w:t>
      </w:r>
    </w:p>
    <w:p w14:paraId="676B57D2" w14:textId="77777777" w:rsidR="00963AFC" w:rsidRPr="00C77172" w:rsidRDefault="00C77172">
      <w:pPr>
        <w:spacing w:after="120"/>
      </w:pPr>
      <w:r w:rsidRPr="00C77172">
        <w:rPr>
          <w:i/>
          <w:iCs/>
        </w:rPr>
        <w:t>Aug 2016 - May 2018</w:t>
      </w:r>
    </w:p>
    <w:p w14:paraId="1C14F4EC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Supported Lead CDM on 4 sponsor ophthalmology and CNS studies, performing data entry review and cleaning for 1,200+ patient records with &lt;0.5% error rate.</w:t>
      </w:r>
    </w:p>
    <w:p w14:paraId="6B04CF35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Assisted with UAT execution and documented 150+ test scripts for EDC system validation across Medidata Rave and Oracle </w:t>
      </w:r>
      <w:proofErr w:type="spellStart"/>
      <w:r w:rsidRPr="00C77172">
        <w:t>InForm</w:t>
      </w:r>
      <w:proofErr w:type="spellEnd"/>
      <w:r w:rsidRPr="00C77172">
        <w:t xml:space="preserve"> platforms.</w:t>
      </w:r>
    </w:p>
    <w:p w14:paraId="328E1D6A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Managed query generation, tracking, and resolution workflows for 3 concurrent studies, maintaining query aging under 7-day SLA.</w:t>
      </w:r>
    </w:p>
    <w:p w14:paraId="110B3A69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Prepared data transfer specifications for central lab and </w:t>
      </w:r>
      <w:proofErr w:type="spellStart"/>
      <w:r w:rsidRPr="00C77172">
        <w:t>eCOA</w:t>
      </w:r>
      <w:proofErr w:type="spellEnd"/>
      <w:r w:rsidRPr="00C77172">
        <w:t xml:space="preserve"> data, supporting successful integration of external datasets into EDC.</w:t>
      </w:r>
    </w:p>
    <w:p w14:paraId="76CC8BE2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Contributed to DMP and CCG authoring under Lead CDM direction, learning study-level documentation standards that accelerated progression to CDM role.</w:t>
      </w:r>
    </w:p>
    <w:p w14:paraId="201F50B8" w14:textId="77777777" w:rsidR="00963AFC" w:rsidRPr="00C77172" w:rsidRDefault="00963AFC"/>
    <w:p w14:paraId="6C6860CF" w14:textId="77777777" w:rsidR="00963AFC" w:rsidRPr="00C77172" w:rsidRDefault="00C77172">
      <w:pPr>
        <w:spacing w:after="120"/>
      </w:pPr>
      <w:r w:rsidRPr="00C77172">
        <w:rPr>
          <w:b/>
          <w:bCs/>
          <w:sz w:val="24"/>
          <w:szCs w:val="24"/>
        </w:rPr>
        <w:t>EDUCATION</w:t>
      </w:r>
    </w:p>
    <w:p w14:paraId="7B56C75A" w14:textId="77777777" w:rsidR="00963AFC" w:rsidRPr="00C77172" w:rsidRDefault="00C77172">
      <w:pPr>
        <w:spacing w:after="120"/>
      </w:pPr>
      <w:r w:rsidRPr="00C77172">
        <w:t>CDISC CDASH/SDTM Certification, CDISC, 2020</w:t>
      </w:r>
    </w:p>
    <w:p w14:paraId="4B2AC619" w14:textId="77777777" w:rsidR="00963AFC" w:rsidRPr="00C77172" w:rsidRDefault="00C77172">
      <w:pPr>
        <w:spacing w:after="120"/>
      </w:pPr>
      <w:r w:rsidRPr="00C77172">
        <w:t>B.S. in Biology, Confidential University, 2016</w:t>
      </w:r>
    </w:p>
    <w:p w14:paraId="42FE9768" w14:textId="77777777" w:rsidR="00963AFC" w:rsidRPr="00C77172" w:rsidRDefault="00963AFC"/>
    <w:p w14:paraId="3C0340F5" w14:textId="77777777" w:rsidR="00963AFC" w:rsidRPr="00C77172" w:rsidRDefault="00C77172">
      <w:pPr>
        <w:spacing w:after="120"/>
      </w:pPr>
      <w:r w:rsidRPr="00C77172">
        <w:rPr>
          <w:b/>
          <w:bCs/>
          <w:sz w:val="24"/>
          <w:szCs w:val="24"/>
        </w:rPr>
        <w:t>SKILLS</w:t>
      </w:r>
    </w:p>
    <w:p w14:paraId="63DFB81D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EDC Systems: Medidata Rave (5+ years), Oracle </w:t>
      </w:r>
      <w:proofErr w:type="spellStart"/>
      <w:r w:rsidRPr="00C77172">
        <w:t>InForm</w:t>
      </w:r>
      <w:proofErr w:type="spellEnd"/>
      <w:r w:rsidRPr="00C77172">
        <w:t xml:space="preserve"> (3 years)</w:t>
      </w:r>
    </w:p>
    <w:p w14:paraId="18A72AD2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CDISC Standards: CDASH, SDTM (implementation-level), </w:t>
      </w:r>
      <w:proofErr w:type="spellStart"/>
      <w:r w:rsidRPr="00C77172">
        <w:t>ADaM</w:t>
      </w:r>
      <w:proofErr w:type="spellEnd"/>
      <w:r w:rsidRPr="00C77172">
        <w:t xml:space="preserve"> (awareness)</w:t>
      </w:r>
    </w:p>
    <w:p w14:paraId="60227E8C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Programming/Analytics: Advanced Excel (pivot tables, VLOOKUP, macros), Basic SAS (data listings, PROC FREQ/MEANS)</w:t>
      </w:r>
    </w:p>
    <w:p w14:paraId="265DACE8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Safety/Coding: SAE reconciliation, MedDRA, </w:t>
      </w:r>
      <w:proofErr w:type="spellStart"/>
      <w:r w:rsidRPr="00C77172">
        <w:t>WHODrug</w:t>
      </w:r>
      <w:proofErr w:type="spellEnd"/>
    </w:p>
    <w:p w14:paraId="72BF1745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 xml:space="preserve">External Data: Central lab, </w:t>
      </w:r>
      <w:proofErr w:type="spellStart"/>
      <w:r w:rsidRPr="00C77172">
        <w:t>eCOA</w:t>
      </w:r>
      <w:proofErr w:type="spellEnd"/>
      <w:r w:rsidRPr="00C77172">
        <w:t xml:space="preserve"> (Medidata Patient Cloud), IRT (IXRS)</w:t>
      </w:r>
    </w:p>
    <w:p w14:paraId="27ECADDA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Regulatory: GCP/ICH E6(R2), 21 CFR Part 11, RBQM principles</w:t>
      </w:r>
    </w:p>
    <w:p w14:paraId="3DD63A5E" w14:textId="77777777" w:rsidR="00963AFC" w:rsidRPr="00C77172" w:rsidRDefault="00C77172">
      <w:pPr>
        <w:pStyle w:val="ListParagraph"/>
        <w:numPr>
          <w:ilvl w:val="0"/>
          <w:numId w:val="2"/>
        </w:numPr>
        <w:spacing w:after="60"/>
      </w:pPr>
      <w:r w:rsidRPr="00C77172">
        <w:t>TMF: Veeva Vault RIM, eTMF completeness management</w:t>
      </w:r>
    </w:p>
    <w:p w14:paraId="5E8A0E80" w14:textId="77777777" w:rsidR="00963AFC" w:rsidRDefault="00C77172">
      <w:pPr>
        <w:pStyle w:val="ListParagraph"/>
        <w:numPr>
          <w:ilvl w:val="0"/>
          <w:numId w:val="2"/>
        </w:numPr>
        <w:spacing w:after="60"/>
      </w:pPr>
      <w:r w:rsidRPr="00C77172">
        <w:t>Tools: MS Office Suite (advanced</w:t>
      </w:r>
      <w:r>
        <w:t>), TEAMS, SharePoint, JIRA, Smartsheet</w:t>
      </w:r>
    </w:p>
    <w:sectPr w:rsidR="00963AFC" w:rsidSect="00C77172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23BE" w14:textId="77777777" w:rsidR="00C77172" w:rsidRDefault="00C77172">
      <w:r>
        <w:separator/>
      </w:r>
    </w:p>
  </w:endnote>
  <w:endnote w:type="continuationSeparator" w:id="0">
    <w:p w14:paraId="0D1264DA" w14:textId="77777777" w:rsidR="00C77172" w:rsidRDefault="00C7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43F7" w14:textId="77777777" w:rsidR="00963AFC" w:rsidRDefault="00C77172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>CONFIDENTIAL - Bryan Blair | GQR | bryan.blair@gqr.com | (737) 707-4477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9F942" w14:textId="77777777" w:rsidR="00C77172" w:rsidRDefault="00C77172">
      <w:r>
        <w:separator/>
      </w:r>
    </w:p>
  </w:footnote>
  <w:footnote w:type="continuationSeparator" w:id="0">
    <w:p w14:paraId="1ED937E0" w14:textId="77777777" w:rsidR="00C77172" w:rsidRDefault="00C7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BC86" w14:textId="77777777" w:rsidR="00963AFC" w:rsidRDefault="00C77172">
    <w:pPr>
      <w:pBdr>
        <w:bottom w:val="single" w:sz="6" w:space="1" w:color="1F3864"/>
      </w:pBdr>
    </w:pPr>
    <w:proofErr w:type="gramStart"/>
    <w:r>
      <w:rPr>
        <w:b/>
        <w:bCs/>
        <w:color w:val="666666"/>
        <w:sz w:val="18"/>
        <w:szCs w:val="18"/>
      </w:rPr>
      <w:t>GQR  |</w:t>
    </w:r>
    <w:proofErr w:type="gramEnd"/>
    <w:r>
      <w:rPr>
        <w:b/>
        <w:bCs/>
        <w:color w:val="666666"/>
        <w:sz w:val="18"/>
        <w:szCs w:val="18"/>
      </w:rPr>
      <w:t xml:space="preserve">  Confidential Candidate 1 - Manager, Clinical Data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4B5A"/>
    <w:multiLevelType w:val="hybridMultilevel"/>
    <w:tmpl w:val="ED94DD22"/>
    <w:lvl w:ilvl="0" w:tplc="E2D6BE22">
      <w:start w:val="1"/>
      <w:numFmt w:val="bullet"/>
      <w:lvlText w:val="●"/>
      <w:lvlJc w:val="left"/>
      <w:pPr>
        <w:ind w:left="720" w:hanging="360"/>
      </w:pPr>
    </w:lvl>
    <w:lvl w:ilvl="1" w:tplc="9A2035F0">
      <w:start w:val="1"/>
      <w:numFmt w:val="bullet"/>
      <w:lvlText w:val="○"/>
      <w:lvlJc w:val="left"/>
      <w:pPr>
        <w:ind w:left="1440" w:hanging="360"/>
      </w:pPr>
    </w:lvl>
    <w:lvl w:ilvl="2" w:tplc="CA20A5D2">
      <w:start w:val="1"/>
      <w:numFmt w:val="bullet"/>
      <w:lvlText w:val="■"/>
      <w:lvlJc w:val="left"/>
      <w:pPr>
        <w:ind w:left="2160" w:hanging="360"/>
      </w:pPr>
    </w:lvl>
    <w:lvl w:ilvl="3" w:tplc="033430B4">
      <w:start w:val="1"/>
      <w:numFmt w:val="bullet"/>
      <w:lvlText w:val="●"/>
      <w:lvlJc w:val="left"/>
      <w:pPr>
        <w:ind w:left="2880" w:hanging="360"/>
      </w:pPr>
    </w:lvl>
    <w:lvl w:ilvl="4" w:tplc="D85028B4">
      <w:start w:val="1"/>
      <w:numFmt w:val="bullet"/>
      <w:lvlText w:val="○"/>
      <w:lvlJc w:val="left"/>
      <w:pPr>
        <w:ind w:left="3600" w:hanging="360"/>
      </w:pPr>
    </w:lvl>
    <w:lvl w:ilvl="5" w:tplc="D7B02884">
      <w:start w:val="1"/>
      <w:numFmt w:val="bullet"/>
      <w:lvlText w:val="■"/>
      <w:lvlJc w:val="left"/>
      <w:pPr>
        <w:ind w:left="4320" w:hanging="360"/>
      </w:pPr>
    </w:lvl>
    <w:lvl w:ilvl="6" w:tplc="DA50E750">
      <w:start w:val="1"/>
      <w:numFmt w:val="bullet"/>
      <w:lvlText w:val="●"/>
      <w:lvlJc w:val="left"/>
      <w:pPr>
        <w:ind w:left="5040" w:hanging="360"/>
      </w:pPr>
    </w:lvl>
    <w:lvl w:ilvl="7" w:tplc="83DACC4A">
      <w:start w:val="1"/>
      <w:numFmt w:val="bullet"/>
      <w:lvlText w:val="●"/>
      <w:lvlJc w:val="left"/>
      <w:pPr>
        <w:ind w:left="5760" w:hanging="360"/>
      </w:pPr>
    </w:lvl>
    <w:lvl w:ilvl="8" w:tplc="C2A23D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D56F2"/>
    <w:multiLevelType w:val="hybridMultilevel"/>
    <w:tmpl w:val="78246CCC"/>
    <w:lvl w:ilvl="0" w:tplc="617E9BC0">
      <w:start w:val="1"/>
      <w:numFmt w:val="bullet"/>
      <w:lvlText w:val="•"/>
      <w:lvlJc w:val="left"/>
      <w:pPr>
        <w:ind w:left="720" w:hanging="360"/>
      </w:pPr>
    </w:lvl>
    <w:lvl w:ilvl="1" w:tplc="B50C2C84">
      <w:numFmt w:val="decimal"/>
      <w:lvlText w:val=""/>
      <w:lvlJc w:val="left"/>
    </w:lvl>
    <w:lvl w:ilvl="2" w:tplc="10B43A82">
      <w:numFmt w:val="decimal"/>
      <w:lvlText w:val=""/>
      <w:lvlJc w:val="left"/>
    </w:lvl>
    <w:lvl w:ilvl="3" w:tplc="06706AE4">
      <w:numFmt w:val="decimal"/>
      <w:lvlText w:val=""/>
      <w:lvlJc w:val="left"/>
    </w:lvl>
    <w:lvl w:ilvl="4" w:tplc="29341D3E">
      <w:numFmt w:val="decimal"/>
      <w:lvlText w:val=""/>
      <w:lvlJc w:val="left"/>
    </w:lvl>
    <w:lvl w:ilvl="5" w:tplc="4D483A9E">
      <w:numFmt w:val="decimal"/>
      <w:lvlText w:val=""/>
      <w:lvlJc w:val="left"/>
    </w:lvl>
    <w:lvl w:ilvl="6" w:tplc="2738F0FA">
      <w:numFmt w:val="decimal"/>
      <w:lvlText w:val=""/>
      <w:lvlJc w:val="left"/>
    </w:lvl>
    <w:lvl w:ilvl="7" w:tplc="650AA47A">
      <w:numFmt w:val="decimal"/>
      <w:lvlText w:val=""/>
      <w:lvlJc w:val="left"/>
    </w:lvl>
    <w:lvl w:ilvl="8" w:tplc="78B06936">
      <w:numFmt w:val="decimal"/>
      <w:lvlText w:val=""/>
      <w:lvlJc w:val="left"/>
    </w:lvl>
  </w:abstractNum>
  <w:num w:numId="1" w16cid:durableId="844898607">
    <w:abstractNumId w:val="0"/>
    <w:lvlOverride w:ilvl="0">
      <w:startOverride w:val="1"/>
    </w:lvlOverride>
  </w:num>
  <w:num w:numId="2" w16cid:durableId="1901624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AFC"/>
    <w:rsid w:val="002660F0"/>
    <w:rsid w:val="00963AFC"/>
    <w:rsid w:val="00C7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5A02"/>
  <w15:docId w15:val="{7FF350C5-E1A6-4504-A514-6DD378E5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4660</Characters>
  <Application>Microsoft Office Word</Application>
  <DocSecurity>0</DocSecurity>
  <Lines>95</Lines>
  <Paragraphs>57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2026-02-25T16:56:00Z</dcterms:created>
  <dcterms:modified xsi:type="dcterms:W3CDTF">2026-02-25T16:56:00Z</dcterms:modified>
</cp:coreProperties>
</file>