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417A" w14:textId="77777777" w:rsidR="000544F6" w:rsidRDefault="00143D71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CONFIDENTIAL CANDIDATE</w:t>
      </w:r>
    </w:p>
    <w:p w14:paraId="4707B5B8" w14:textId="77777777" w:rsidR="000544F6" w:rsidRDefault="000544F6"/>
    <w:p w14:paraId="0DD329DD" w14:textId="77777777" w:rsidR="000544F6" w:rsidRDefault="00143D71">
      <w:pPr>
        <w:pBdr>
          <w:bottom w:val="single" w:sz="4" w:space="1" w:color="auto"/>
        </w:pBd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PROFESSIONAL SUMMARY</w:t>
      </w:r>
    </w:p>
    <w:p w14:paraId="78F9CAD7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Collaborative, results-driven oncology clinical development leader with 10+ years of progressive industry experience spanning solid tumor drug development, first-in-human trial design, and radioligand therapy programs.</w:t>
      </w:r>
    </w:p>
    <w:p w14:paraId="21E785DB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Deep expertise in IND-enabling strategy, Phase 1 dose escalation design, medical monitoring, and cross-functional program leadership within clinical-stage biotech environments.</w:t>
      </w:r>
    </w:p>
    <w:p w14:paraId="4A06DDD4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Known for building strong investigator and KOL relationships across NCI-designated cancer centers, with hands-on experience in nuclear medicine safety protocols and radiopharmaceutical supply chain coordination.</w:t>
      </w:r>
    </w:p>
    <w:p w14:paraId="0478DB7F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Highly personable and can-do communicator with a track record of driving programs from IND through FIH enrollment. Greater San Diego area. Seeking ~$350K base.</w:t>
      </w:r>
    </w:p>
    <w:p w14:paraId="2B894392" w14:textId="77777777" w:rsidR="000544F6" w:rsidRDefault="000544F6"/>
    <w:p w14:paraId="4BF206DD" w14:textId="77777777" w:rsidR="000544F6" w:rsidRDefault="00143D71">
      <w:pPr>
        <w:pBdr>
          <w:bottom w:val="single" w:sz="4" w:space="1" w:color="auto"/>
        </w:pBd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PROFESSIONAL EXPERIENCE</w:t>
      </w:r>
    </w:p>
    <w:p w14:paraId="1EFE296C" w14:textId="77777777" w:rsidR="000544F6" w:rsidRDefault="000544F6"/>
    <w:p w14:paraId="1787E59C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Confidential Therapeutics</w:t>
      </w:r>
      <w:r>
        <w:rPr>
          <w:rFonts w:ascii="Calibri" w:eastAsia="Calibri" w:hAnsi="Calibri" w:cs="Calibri"/>
          <w:sz w:val="22"/>
          <w:szCs w:val="22"/>
        </w:rPr>
        <w:t xml:space="preserve"> | Clinical-Stage Oncology Biotech (Radiopharmaceuticals) | San Diego, CA</w:t>
      </w:r>
    </w:p>
    <w:p w14:paraId="53804F30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Associate Vice President, Clinical Development</w:t>
      </w:r>
    </w:p>
    <w:p w14:paraId="7C6AC325" w14:textId="77777777" w:rsidR="000544F6" w:rsidRDefault="00143D71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Mar 2023 – Present</w:t>
      </w:r>
    </w:p>
    <w:p w14:paraId="26CD530F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Led IND-enabling activities and FIH protocol design for a novel targeted radionuclide therapy program in solid tumors, achieving FDA IND clearance within 14 months of program initiation.</w:t>
      </w:r>
    </w:p>
    <w:p w14:paraId="2DF84097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Designed and executed Phase 1 dose escalation study (3+3 design) for a radioligand therapeutic targeting SSTR2+ neuroendocrine tumors, enrolling 42 patients across 6 dose levels at 8 clinical sites.</w:t>
      </w:r>
    </w:p>
    <w:p w14:paraId="27D2A80A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Served as medical monitor providing real-time safety oversight for 3 concurrent oncology trials, reviewing 200+ SAE reports and chairing the internal safety review committee.</w:t>
      </w:r>
    </w:p>
    <w:p w14:paraId="57855089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Managed cross-functional clinical development team of 12, spanning clinical operations, biostatistics, regulatory affairs, and translational medicine.</w:t>
      </w:r>
    </w:p>
    <w:p w14:paraId="306F8DDC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Established and maintained KOL advisory boards with 15+ investigators at NCI-designated cancer centers to inform trial design and enrollment strategy.</w:t>
      </w:r>
    </w:p>
    <w:p w14:paraId="42A1EE97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Authored clinical sections of 2 IND submissions and contributed to pre-IND meeting briefing documents resulting in favorable FDA feedback on development pathway.</w:t>
      </w:r>
    </w:p>
    <w:p w14:paraId="594ADD23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Coordinated with CMC and nuclear pharmacy teams to ensure compliant radiopharmaceutical supply chain across multi-site Phase 1 study.</w:t>
      </w:r>
    </w:p>
    <w:p w14:paraId="28127017" w14:textId="77777777" w:rsidR="000544F6" w:rsidRDefault="000544F6"/>
    <w:p w14:paraId="6662FD2B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Senior Director, Clinical Development</w:t>
      </w:r>
    </w:p>
    <w:p w14:paraId="7E973A27" w14:textId="77777777" w:rsidR="000544F6" w:rsidRDefault="00143D71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Jun 2021 – Feb 2023</w:t>
      </w:r>
    </w:p>
    <w:p w14:paraId="0A9EDAB7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Provided clinical and scientific leadership for company’s lead oncology program, advancing from preclinical candidate selection through IND-enabling studies.</w:t>
      </w:r>
    </w:p>
    <w:p w14:paraId="0B394B5E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Designed FIH protocol including dose escalation strategy, imaging-based patient selection criteria, and dosimetry assessment plan for targeted radionuclide therapy.</w:t>
      </w:r>
    </w:p>
    <w:p w14:paraId="300D010F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Led cross-functional IND team meetings and managed external consultants in regulatory strategy, CMC, and nonclinical toxicology.</w:t>
      </w:r>
    </w:p>
    <w:p w14:paraId="7DEE60DB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 clinical development infrastructure for a 15-person biotech, including SOPs, medical monitoring plans, and safety reporting processes.</w:t>
      </w:r>
    </w:p>
    <w:p w14:paraId="3D06AB8B" w14:textId="77777777" w:rsidR="000544F6" w:rsidRDefault="000544F6"/>
    <w:p w14:paraId="43EFC23F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Confidential Pharma</w:t>
      </w:r>
      <w:r>
        <w:rPr>
          <w:rFonts w:ascii="Calibri" w:eastAsia="Calibri" w:hAnsi="Calibri" w:cs="Calibri"/>
          <w:sz w:val="22"/>
          <w:szCs w:val="22"/>
        </w:rPr>
        <w:t xml:space="preserve"> | Mid-Size Oncology Division | San Diego, CA</w:t>
      </w:r>
    </w:p>
    <w:p w14:paraId="5FFBC10D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Director, Clinical Development — Oncology</w:t>
      </w:r>
    </w:p>
    <w:p w14:paraId="582A0B94" w14:textId="77777777" w:rsidR="000544F6" w:rsidRDefault="00143D71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lastRenderedPageBreak/>
        <w:t>Jan 2019 – May 2021</w:t>
      </w:r>
    </w:p>
    <w:p w14:paraId="600B1045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Senior Medical Director</w:t>
      </w:r>
    </w:p>
    <w:p w14:paraId="237C094D" w14:textId="77777777" w:rsidR="000544F6" w:rsidRDefault="00143D71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Aug 2017 – Dec 2018</w:t>
      </w:r>
    </w:p>
    <w:p w14:paraId="687D8777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Provided clinical and scientific leadership for Phase 2 solid tumor program in NSCLC, overseeing protocol development, site selection, and data monitoring across 25 sites.</w:t>
      </w:r>
    </w:p>
    <w:p w14:paraId="32C2DEC9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Led regulatory interactions including 3 FDA Type B meetings and contributed to clinical sections of an NDA submission for a small molecule oncology therapeutic.</w:t>
      </w:r>
    </w:p>
    <w:p w14:paraId="78E996D7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Managed global medical monitoring activities across 2 Phase 2 and 1 Phase 3 trials, with enrollment across US, EU, and APAC sites (450+ patients total).</w:t>
      </w:r>
    </w:p>
    <w:p w14:paraId="344C9D6F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 and led a clinical science team of 8, implementing structured mentorship program that improved team retention by 35%.</w:t>
      </w:r>
    </w:p>
    <w:p w14:paraId="7A407161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Represented clinical development in interactions with DSMB, IRBs, and regulatory authorities across 4 countries.</w:t>
      </w:r>
    </w:p>
    <w:p w14:paraId="154A9013" w14:textId="77777777" w:rsidR="000544F6" w:rsidRDefault="000544F6"/>
    <w:p w14:paraId="6885E9DD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Confidential Academic Medical Center</w:t>
      </w:r>
      <w:r>
        <w:rPr>
          <w:rFonts w:ascii="Calibri" w:eastAsia="Calibri" w:hAnsi="Calibri" w:cs="Calibri"/>
          <w:sz w:val="22"/>
          <w:szCs w:val="22"/>
        </w:rPr>
        <w:t xml:space="preserve"> | Pharma Industry Fellowship | Southern California</w:t>
      </w:r>
    </w:p>
    <w:p w14:paraId="7469AFA1" w14:textId="77777777" w:rsidR="000544F6" w:rsidRDefault="00143D71">
      <w:pPr>
        <w:spacing w:after="12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Clinical Development Fellow / Medical Science Liaison</w:t>
      </w:r>
    </w:p>
    <w:p w14:paraId="1583A65B" w14:textId="77777777" w:rsidR="000544F6" w:rsidRDefault="00143D71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Jul 2013 – Jul 2017</w:t>
      </w:r>
    </w:p>
    <w:p w14:paraId="7691B611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Completed pharma industry fellowship focused on oncology clinical development, rotating through medical affairs, clinical operations, and regulatory affairs.</w:t>
      </w:r>
    </w:p>
    <w:p w14:paraId="4F028F2E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Contributed to protocol design for 2 Phase 1 studies in breast cancer and supported investigator-initiated study program.</w:t>
      </w:r>
    </w:p>
    <w:p w14:paraId="303BABDB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 KOL relationships with 20+ oncologists at leading academic institutions, facilitating site selection and enrollment for pivotal trials.</w:t>
      </w:r>
    </w:p>
    <w:p w14:paraId="7C3CC9B8" w14:textId="77777777" w:rsidR="000544F6" w:rsidRDefault="000544F6"/>
    <w:p w14:paraId="43139DE4" w14:textId="77777777" w:rsidR="000544F6" w:rsidRDefault="00143D71">
      <w:pPr>
        <w:pBdr>
          <w:bottom w:val="single" w:sz="4" w:space="1" w:color="auto"/>
        </w:pBd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629D0C04" w14:textId="77777777" w:rsidR="000544F6" w:rsidRDefault="00143D7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Doctor of Medicine (M.D.) — Confidential University School of Medicine, 2013</w:t>
      </w:r>
    </w:p>
    <w:p w14:paraId="3DE2EDA3" w14:textId="77777777" w:rsidR="000544F6" w:rsidRDefault="00143D7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Residency, Internal Medicine — Confidential University Hospital, 2016</w:t>
      </w:r>
    </w:p>
    <w:p w14:paraId="45C36D8A" w14:textId="77777777" w:rsidR="000544F6" w:rsidRDefault="00143D7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Fellowship, Medical Oncology — Confidential Cancer Center, 2018</w:t>
      </w:r>
    </w:p>
    <w:p w14:paraId="754E337A" w14:textId="77777777" w:rsidR="000544F6" w:rsidRDefault="00143D7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Bachelor of Science, Biochemistry — Confidential University, 2009</w:t>
      </w:r>
    </w:p>
    <w:p w14:paraId="5419C22F" w14:textId="77777777" w:rsidR="000544F6" w:rsidRDefault="000544F6"/>
    <w:p w14:paraId="7B3B7071" w14:textId="77777777" w:rsidR="000544F6" w:rsidRDefault="00143D71">
      <w:pPr>
        <w:pBdr>
          <w:bottom w:val="single" w:sz="4" w:space="1" w:color="auto"/>
        </w:pBd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BOARD CERTIFICATION &amp; LICENSURE</w:t>
      </w:r>
    </w:p>
    <w:p w14:paraId="3255AA6B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Board Certified, Internal Medicine (ABIM)</w:t>
      </w:r>
    </w:p>
    <w:p w14:paraId="1B779F05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Board Certified, Medical Oncology (ABIM)</w:t>
      </w:r>
    </w:p>
    <w:p w14:paraId="571C359E" w14:textId="77777777" w:rsidR="000544F6" w:rsidRDefault="00143D71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Active California Medical License</w:t>
      </w:r>
    </w:p>
    <w:p w14:paraId="7041CE14" w14:textId="77777777" w:rsidR="000544F6" w:rsidRDefault="000544F6"/>
    <w:p w14:paraId="278BD3BF" w14:textId="77777777" w:rsidR="000544F6" w:rsidRDefault="00143D71">
      <w:pPr>
        <w:pBdr>
          <w:bottom w:val="single" w:sz="4" w:space="1" w:color="auto"/>
        </w:pBdr>
        <w:spacing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SKILLS</w:t>
      </w:r>
    </w:p>
    <w:p w14:paraId="3A47113E" w14:textId="77777777" w:rsidR="000544F6" w:rsidRDefault="00143D71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Clinical Development: First-in-Human Trial Design, Radioligand Therapy (RLT), IND Strategy, Dose Escalation (3+3, CRM), Medical Monitoring, Phase 1-3 Oversight | Oncology: Solid Tumors (Breast, Lung, Neuroendocrine), Nuclear Medicine Safety, Radiopharmaceutical Supply Chain | Regulatory: IND/NDA Submissions, FDA Type B Meetings, GCP, ICH E6(R2) | Leadership: KOL Engagement, Cross-Functional Teams, DSMB/IRC Interactions, RECIST/iRECIST</w:t>
      </w:r>
    </w:p>
    <w:sectPr w:rsidR="000544F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A55"/>
    <w:multiLevelType w:val="hybridMultilevel"/>
    <w:tmpl w:val="D9C88324"/>
    <w:lvl w:ilvl="0" w:tplc="67F0C27E">
      <w:start w:val="1"/>
      <w:numFmt w:val="bullet"/>
      <w:lvlText w:val="•"/>
      <w:lvlJc w:val="left"/>
      <w:pPr>
        <w:ind w:left="720" w:hanging="360"/>
      </w:pPr>
    </w:lvl>
    <w:lvl w:ilvl="1" w:tplc="E5768B66">
      <w:numFmt w:val="decimal"/>
      <w:lvlText w:val=""/>
      <w:lvlJc w:val="left"/>
    </w:lvl>
    <w:lvl w:ilvl="2" w:tplc="61AC9E5A">
      <w:numFmt w:val="decimal"/>
      <w:lvlText w:val=""/>
      <w:lvlJc w:val="left"/>
    </w:lvl>
    <w:lvl w:ilvl="3" w:tplc="6E8A20EC">
      <w:numFmt w:val="decimal"/>
      <w:lvlText w:val=""/>
      <w:lvlJc w:val="left"/>
    </w:lvl>
    <w:lvl w:ilvl="4" w:tplc="58343B48">
      <w:numFmt w:val="decimal"/>
      <w:lvlText w:val=""/>
      <w:lvlJc w:val="left"/>
    </w:lvl>
    <w:lvl w:ilvl="5" w:tplc="9E50EE3C">
      <w:numFmt w:val="decimal"/>
      <w:lvlText w:val=""/>
      <w:lvlJc w:val="left"/>
    </w:lvl>
    <w:lvl w:ilvl="6" w:tplc="3266D3AA">
      <w:numFmt w:val="decimal"/>
      <w:lvlText w:val=""/>
      <w:lvlJc w:val="left"/>
    </w:lvl>
    <w:lvl w:ilvl="7" w:tplc="CF0A706C">
      <w:numFmt w:val="decimal"/>
      <w:lvlText w:val=""/>
      <w:lvlJc w:val="left"/>
    </w:lvl>
    <w:lvl w:ilvl="8" w:tplc="715A1C56">
      <w:numFmt w:val="decimal"/>
      <w:lvlText w:val=""/>
      <w:lvlJc w:val="left"/>
    </w:lvl>
  </w:abstractNum>
  <w:abstractNum w:abstractNumId="1" w15:restartNumberingAfterBreak="0">
    <w:nsid w:val="7E857B96"/>
    <w:multiLevelType w:val="hybridMultilevel"/>
    <w:tmpl w:val="9EE8B612"/>
    <w:lvl w:ilvl="0" w:tplc="82DEF614">
      <w:start w:val="1"/>
      <w:numFmt w:val="bullet"/>
      <w:lvlText w:val="●"/>
      <w:lvlJc w:val="left"/>
      <w:pPr>
        <w:ind w:left="720" w:hanging="360"/>
      </w:pPr>
    </w:lvl>
    <w:lvl w:ilvl="1" w:tplc="03E26942">
      <w:start w:val="1"/>
      <w:numFmt w:val="bullet"/>
      <w:lvlText w:val="○"/>
      <w:lvlJc w:val="left"/>
      <w:pPr>
        <w:ind w:left="1440" w:hanging="360"/>
      </w:pPr>
    </w:lvl>
    <w:lvl w:ilvl="2" w:tplc="69E03E82">
      <w:start w:val="1"/>
      <w:numFmt w:val="bullet"/>
      <w:lvlText w:val="■"/>
      <w:lvlJc w:val="left"/>
      <w:pPr>
        <w:ind w:left="2160" w:hanging="360"/>
      </w:pPr>
    </w:lvl>
    <w:lvl w:ilvl="3" w:tplc="5C26B0A0">
      <w:start w:val="1"/>
      <w:numFmt w:val="bullet"/>
      <w:lvlText w:val="●"/>
      <w:lvlJc w:val="left"/>
      <w:pPr>
        <w:ind w:left="2880" w:hanging="360"/>
      </w:pPr>
    </w:lvl>
    <w:lvl w:ilvl="4" w:tplc="8C7AB5BA">
      <w:start w:val="1"/>
      <w:numFmt w:val="bullet"/>
      <w:lvlText w:val="○"/>
      <w:lvlJc w:val="left"/>
      <w:pPr>
        <w:ind w:left="3600" w:hanging="360"/>
      </w:pPr>
    </w:lvl>
    <w:lvl w:ilvl="5" w:tplc="43706F66">
      <w:start w:val="1"/>
      <w:numFmt w:val="bullet"/>
      <w:lvlText w:val="■"/>
      <w:lvlJc w:val="left"/>
      <w:pPr>
        <w:ind w:left="4320" w:hanging="360"/>
      </w:pPr>
    </w:lvl>
    <w:lvl w:ilvl="6" w:tplc="0A28E352">
      <w:start w:val="1"/>
      <w:numFmt w:val="bullet"/>
      <w:lvlText w:val="●"/>
      <w:lvlJc w:val="left"/>
      <w:pPr>
        <w:ind w:left="5040" w:hanging="360"/>
      </w:pPr>
    </w:lvl>
    <w:lvl w:ilvl="7" w:tplc="4E92B9C6">
      <w:start w:val="1"/>
      <w:numFmt w:val="bullet"/>
      <w:lvlText w:val="●"/>
      <w:lvlJc w:val="left"/>
      <w:pPr>
        <w:ind w:left="5760" w:hanging="360"/>
      </w:pPr>
    </w:lvl>
    <w:lvl w:ilvl="8" w:tplc="8D7650A6">
      <w:start w:val="1"/>
      <w:numFmt w:val="bullet"/>
      <w:lvlText w:val="●"/>
      <w:lvlJc w:val="left"/>
      <w:pPr>
        <w:ind w:left="6480" w:hanging="360"/>
      </w:pPr>
    </w:lvl>
  </w:abstractNum>
  <w:num w:numId="1" w16cid:durableId="537623502">
    <w:abstractNumId w:val="1"/>
    <w:lvlOverride w:ilvl="0">
      <w:startOverride w:val="1"/>
    </w:lvlOverride>
  </w:num>
  <w:num w:numId="2" w16cid:durableId="169835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4F6"/>
    <w:rsid w:val="000544F6"/>
    <w:rsid w:val="00143D71"/>
    <w:rsid w:val="00C1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B240"/>
  <w15:docId w15:val="{54A46C83-0D68-42C1-8A99-33A00D32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2</cp:revision>
  <dcterms:created xsi:type="dcterms:W3CDTF">2026-03-05T19:30:00Z</dcterms:created>
  <dcterms:modified xsi:type="dcterms:W3CDTF">2026-03-05T19:30:00Z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6f993e63-e630-4855-8b78-288cc05126ca</vt:lpwstr>
  </property>
</Properties>
</file>