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61191" w14:textId="77777777" w:rsidR="00937E64" w:rsidRPr="00FE276A" w:rsidRDefault="00FE276A">
      <w:pPr>
        <w:spacing w:after="120"/>
      </w:pPr>
      <w:r w:rsidRPr="00FE276A">
        <w:rPr>
          <w:b/>
          <w:bCs/>
          <w:sz w:val="28"/>
          <w:szCs w:val="28"/>
        </w:rPr>
        <w:t>CONFIDENTIAL CANDIDATE</w:t>
      </w:r>
    </w:p>
    <w:p w14:paraId="73667EA4" w14:textId="77777777" w:rsidR="00937E64" w:rsidRPr="00FE276A" w:rsidRDefault="00937E64"/>
    <w:p w14:paraId="3E154C4B" w14:textId="77777777" w:rsidR="00937E64" w:rsidRPr="00FE276A" w:rsidRDefault="00FE276A">
      <w:pPr>
        <w:spacing w:after="120"/>
      </w:pPr>
      <w:r w:rsidRPr="00FE276A">
        <w:rPr>
          <w:b/>
          <w:bCs/>
          <w:sz w:val="24"/>
          <w:szCs w:val="24"/>
        </w:rPr>
        <w:t>PROFESSIONAL SUMMARY</w:t>
      </w:r>
    </w:p>
    <w:p w14:paraId="521CB6AE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 xml:space="preserve">Strategic Clinical Data Management leader with 10+ years of progressive CDM experience, including 6 years in Lead/Senior CDM roles across ophthalmology, retinal disease, ocular inflammation, and glaucoma programs at Top 20 Pharma and </w:t>
      </w:r>
      <w:proofErr w:type="gramStart"/>
      <w:r w:rsidRPr="00FE276A">
        <w:t>clinical-stage</w:t>
      </w:r>
      <w:proofErr w:type="gramEnd"/>
      <w:r w:rsidRPr="00FE276A">
        <w:t xml:space="preserve"> </w:t>
      </w:r>
      <w:proofErr w:type="spellStart"/>
      <w:r w:rsidRPr="00FE276A">
        <w:t>biotechs</w:t>
      </w:r>
      <w:proofErr w:type="spellEnd"/>
      <w:r w:rsidRPr="00FE276A">
        <w:t>.</w:t>
      </w:r>
    </w:p>
    <w:p w14:paraId="32991E75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 xml:space="preserve">Expert in multi-study CDM oversight, EDC platform migrations (Medidata Rave to Veeva Vault CDMS), CDISC implementation (CDASH, SDTM, </w:t>
      </w:r>
      <w:proofErr w:type="spellStart"/>
      <w:r w:rsidRPr="00FE276A">
        <w:t>ADaM</w:t>
      </w:r>
      <w:proofErr w:type="spellEnd"/>
      <w:r w:rsidRPr="00FE276A">
        <w:t xml:space="preserve"> support), RBQM-aligned data review strategies, edit check programming, and CRO vendor management.</w:t>
      </w:r>
    </w:p>
    <w:p w14:paraId="373241E6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Proven track record of building high-performing CDM teams, driving database lock timelines from 15 to 9 business days, managing $1.2M+ annual vendor budgets, and delivering CDM packages for NDA/BLA regulatory submissions with zero critical findings.</w:t>
      </w:r>
    </w:p>
    <w:p w14:paraId="1E16F4C4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 xml:space="preserve">Calm and methodical </w:t>
      </w:r>
      <w:proofErr w:type="gramStart"/>
      <w:r w:rsidRPr="00FE276A">
        <w:t>leader</w:t>
      </w:r>
      <w:proofErr w:type="gramEnd"/>
      <w:r w:rsidRPr="00FE276A">
        <w:t xml:space="preserve"> known for cross-functional alignment under regulatory pressure. CDISC-certified. SAS programming proficiency (Base, Macros). Boston metro, ~25 min from Bedford. Seeking ~$165K.</w:t>
      </w:r>
    </w:p>
    <w:p w14:paraId="71B8BF5E" w14:textId="77777777" w:rsidR="00937E64" w:rsidRPr="00FE276A" w:rsidRDefault="00937E64"/>
    <w:p w14:paraId="579273E1" w14:textId="77777777" w:rsidR="00937E64" w:rsidRPr="00FE276A" w:rsidRDefault="00FE276A">
      <w:pPr>
        <w:spacing w:after="120"/>
      </w:pPr>
      <w:r w:rsidRPr="00FE276A">
        <w:rPr>
          <w:b/>
          <w:bCs/>
          <w:sz w:val="24"/>
          <w:szCs w:val="24"/>
        </w:rPr>
        <w:t>PROFESSIONAL EXPERIENCE</w:t>
      </w:r>
    </w:p>
    <w:p w14:paraId="28746CF6" w14:textId="77777777" w:rsidR="00937E64" w:rsidRPr="00FE276A" w:rsidRDefault="00937E64"/>
    <w:p w14:paraId="1584D444" w14:textId="77777777" w:rsidR="00937E64" w:rsidRPr="00FE276A" w:rsidRDefault="00FE276A">
      <w:pPr>
        <w:spacing w:after="120"/>
      </w:pPr>
      <w:r w:rsidRPr="00FE276A">
        <w:rPr>
          <w:b/>
          <w:bCs/>
        </w:rPr>
        <w:t>Confidential Global Pharma</w:t>
      </w:r>
      <w:r w:rsidRPr="00FE276A">
        <w:t xml:space="preserve"> (Top 20) - Ophthalmology Division | Watertown, MA</w:t>
      </w:r>
    </w:p>
    <w:p w14:paraId="23CFDF57" w14:textId="77777777" w:rsidR="00937E64" w:rsidRPr="00FE276A" w:rsidRDefault="00FE276A">
      <w:pPr>
        <w:spacing w:after="120"/>
      </w:pPr>
      <w:r w:rsidRPr="00FE276A">
        <w:rPr>
          <w:b/>
          <w:bCs/>
          <w:i/>
          <w:iCs/>
        </w:rPr>
        <w:t>Senior Clinical Data Manager</w:t>
      </w:r>
    </w:p>
    <w:p w14:paraId="78B7CDA4" w14:textId="77777777" w:rsidR="00937E64" w:rsidRPr="00FE276A" w:rsidRDefault="00FE276A">
      <w:pPr>
        <w:spacing w:after="120"/>
      </w:pPr>
      <w:r w:rsidRPr="00FE276A">
        <w:rPr>
          <w:i/>
          <w:iCs/>
        </w:rPr>
        <w:t>Jan 2022 - Present</w:t>
      </w:r>
    </w:p>
    <w:p w14:paraId="3E58FFE5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Led CDM activities across 4 concurrent Phase II/III ophthalmic programs (retinal disease, glaucoma, dry eye, posterior uveitis) spanning 80+ global sites in US, EU, and APAC.</w:t>
      </w:r>
    </w:p>
    <w:p w14:paraId="775DBCA5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 xml:space="preserve">Drove EDC platform migration from Oracle </w:t>
      </w:r>
      <w:proofErr w:type="spellStart"/>
      <w:r w:rsidRPr="00FE276A">
        <w:t>InForm</w:t>
      </w:r>
      <w:proofErr w:type="spellEnd"/>
      <w:r w:rsidRPr="00FE276A">
        <w:t xml:space="preserve"> to Veeva Vault CDMS across 3 active studies with zero data loss, coordinating cross-functional cutover with IT, Biostatistics, and CRO teams over 16-week implementation window.</w:t>
      </w:r>
    </w:p>
    <w:p w14:paraId="621AF894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Designed clinical databases in Veeva Vault CDMS and Medidata Rave, implementing RBQM-aligned targeted edit checks that reduced total query volume by 28% while maintaining signal detection for critical safety and efficacy data.</w:t>
      </w:r>
    </w:p>
    <w:p w14:paraId="3FBF42AC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Managed $1.2M annual CDM vendor budget across 3 CROs, negotiating scope changes and change orders that saved $180K while maintaining all quality KPIs (query aging &lt;5 days, data entry lag &lt;3 days).</w:t>
      </w:r>
    </w:p>
    <w:p w14:paraId="276D9275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Authored and reviewed 18 DMPs, CCGs, EDC specifications, and eCRF annotation documents with zero major findings across 3 regulatory inspections (2 FDA, 1 EMA).</w:t>
      </w:r>
    </w:p>
    <w:p w14:paraId="31986168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Built and led CDM sub-team of 4 (2 CDMs, 2 CDAs), implementing standardized data review workflows, KPI dashboards, and mentorship program that cut database lock timelines from 15 to 9 business days.</w:t>
      </w:r>
    </w:p>
    <w:p w14:paraId="3DDD9086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Implemented CDISC CDASH-compliant CRF standards across ophthalmology portfolio, creating therapeutic-area-specific CRF libraries (BCVA, IOP, slit lamp, OCT, fundus photography) that reduced new study database build time by 30%.</w:t>
      </w:r>
    </w:p>
    <w:p w14:paraId="77FE31ED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Developed SAS programs (Base, Macros) for ad-hoc data listings, patient profiles, and metrics dashboards - reducing manual reporting effort by 40% and enabling real-time study team visibility into data quality.</w:t>
      </w:r>
    </w:p>
    <w:p w14:paraId="6DCE5BB6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Oversaw SAE/AESI reconciliation between EDC, safety database (Argus), and regulatory reporting systems on bi-weekly cycle across all 4 programs, maintaining 100% reconciliation compliance.</w:t>
      </w:r>
    </w:p>
    <w:p w14:paraId="20A156D2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 xml:space="preserve">Coordinated external data integration from 6 vendor sources (central lab, central reading center for retinal imaging, </w:t>
      </w:r>
      <w:proofErr w:type="spellStart"/>
      <w:r w:rsidRPr="00FE276A">
        <w:t>eCOA</w:t>
      </w:r>
      <w:proofErr w:type="spellEnd"/>
      <w:r w:rsidRPr="00FE276A">
        <w:t>, IRT, PK lab, biomarker assay) - authoring data transfer agreements and reconciliation specs for each.</w:t>
      </w:r>
    </w:p>
    <w:p w14:paraId="688C79F2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lastRenderedPageBreak/>
        <w:t>Prepared CDM deliverables (annotated CRFs, data reviewer guides, define.xml support) for NDA submission package, delivered on time with zero CDM-related FDA queries during review.</w:t>
      </w:r>
    </w:p>
    <w:p w14:paraId="702F39F0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Served as CDM representative on Data Monitoring Committee (DMC) logistics team, preparing masked and unmasked data packages for 6 scheduled interim analyses.</w:t>
      </w:r>
    </w:p>
    <w:p w14:paraId="5ECEA425" w14:textId="77777777" w:rsidR="00937E64" w:rsidRPr="00FE276A" w:rsidRDefault="00937E64"/>
    <w:p w14:paraId="387C184D" w14:textId="77777777" w:rsidR="00937E64" w:rsidRPr="00FE276A" w:rsidRDefault="00FE276A">
      <w:pPr>
        <w:spacing w:after="120"/>
      </w:pPr>
      <w:r w:rsidRPr="00FE276A">
        <w:rPr>
          <w:b/>
          <w:bCs/>
        </w:rPr>
        <w:t>Confidential Retinal Therapeutics</w:t>
      </w:r>
      <w:r w:rsidRPr="00FE276A">
        <w:t xml:space="preserve"> (Mid-Stage Biotech) | Cambridge, MA</w:t>
      </w:r>
    </w:p>
    <w:p w14:paraId="0BBD1B4A" w14:textId="77777777" w:rsidR="00937E64" w:rsidRPr="00FE276A" w:rsidRDefault="00FE276A">
      <w:pPr>
        <w:spacing w:after="120"/>
      </w:pPr>
      <w:r w:rsidRPr="00FE276A">
        <w:rPr>
          <w:b/>
          <w:bCs/>
          <w:i/>
          <w:iCs/>
        </w:rPr>
        <w:t>Lead Clinical Data Manager</w:t>
      </w:r>
    </w:p>
    <w:p w14:paraId="70CCAD23" w14:textId="77777777" w:rsidR="00937E64" w:rsidRPr="00FE276A" w:rsidRDefault="00FE276A">
      <w:pPr>
        <w:spacing w:after="120"/>
      </w:pPr>
      <w:r w:rsidRPr="00FE276A">
        <w:rPr>
          <w:i/>
          <w:iCs/>
        </w:rPr>
        <w:t>Sep 2019 - Dec 2021</w:t>
      </w:r>
    </w:p>
    <w:p w14:paraId="771B0DF3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Served as Lead CDM for pivotal Phase III intravitreal injection study (anti-VEGF) across 35 US sites, managing full CDM lifecycle from database build through lock for 620-patient dataset.</w:t>
      </w:r>
    </w:p>
    <w:p w14:paraId="63F31564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 xml:space="preserve">Performed UAT for Oracle </w:t>
      </w:r>
      <w:proofErr w:type="spellStart"/>
      <w:r w:rsidRPr="00FE276A">
        <w:t>InForm</w:t>
      </w:r>
      <w:proofErr w:type="spellEnd"/>
      <w:r w:rsidRPr="00FE276A">
        <w:t xml:space="preserve"> builds including edit check validation, dynamic form logic, and query algorithm testing - identifying 120+ defects and coordinating resolution with EDC vendor within 2-week agile sprints.</w:t>
      </w:r>
    </w:p>
    <w:p w14:paraId="7F888FBD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Developed risk-based data review plan aligned with ICH E6(R2) RBQM framework, implementing KRI-driven data cleaning priorities that focused CDM effort on critical safety/efficacy signals while reducing low-value query generation by 22%.</w:t>
      </w:r>
    </w:p>
    <w:p w14:paraId="34FF53E0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Collaborated with Biostatistics and Clinical Operations to implement adaptive data review plan for pre-specified interim analysis, delivering clean interim dataset 3 weeks ahead of schedule.</w:t>
      </w:r>
    </w:p>
    <w:p w14:paraId="424188EC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 xml:space="preserve">Managed medical coding oversight (MedDRA 25.0, </w:t>
      </w:r>
      <w:proofErr w:type="spellStart"/>
      <w:r w:rsidRPr="00FE276A">
        <w:t>WHODrug</w:t>
      </w:r>
      <w:proofErr w:type="spellEnd"/>
      <w:r w:rsidRPr="00FE276A">
        <w:t xml:space="preserve"> March 2021) with central coding vendor, achieving 98% auto-coding accuracy and resolving remaining discrepancies within 1 review cycle.</w:t>
      </w:r>
    </w:p>
    <w:p w14:paraId="672EA9B0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Coordinated central reading center data integration for retinal imaging endpoints (OCT, fundus photography), authoring data transfer specs and reconciliation procedures for image grading data.</w:t>
      </w:r>
    </w:p>
    <w:p w14:paraId="0430AA9F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Oversaw 2 CDA direct reports, implementing weekly data quality review sessions and structured mentorship that led to both individuals being promoted to CDM within 18 months.</w:t>
      </w:r>
    </w:p>
    <w:p w14:paraId="5A0E3588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Ensured 100% eTMF completeness across all CDM essential documents, verified through independent TMF audit with zero findings.</w:t>
      </w:r>
    </w:p>
    <w:p w14:paraId="6E287CD8" w14:textId="77777777" w:rsidR="00937E64" w:rsidRPr="00FE276A" w:rsidRDefault="00937E64"/>
    <w:p w14:paraId="224A4D87" w14:textId="77777777" w:rsidR="00937E64" w:rsidRPr="00FE276A" w:rsidRDefault="00FE276A">
      <w:pPr>
        <w:spacing w:after="120"/>
      </w:pPr>
      <w:r w:rsidRPr="00FE276A">
        <w:rPr>
          <w:b/>
          <w:bCs/>
        </w:rPr>
        <w:t>Confidential CRO Group</w:t>
      </w:r>
      <w:r w:rsidRPr="00FE276A">
        <w:t xml:space="preserve"> | Boston, MA</w:t>
      </w:r>
    </w:p>
    <w:p w14:paraId="178CEC9E" w14:textId="77777777" w:rsidR="00937E64" w:rsidRPr="00FE276A" w:rsidRDefault="00FE276A">
      <w:pPr>
        <w:spacing w:after="120"/>
      </w:pPr>
      <w:r w:rsidRPr="00FE276A">
        <w:rPr>
          <w:b/>
          <w:bCs/>
          <w:i/>
          <w:iCs/>
        </w:rPr>
        <w:t>Clinical Data Manager</w:t>
      </w:r>
    </w:p>
    <w:p w14:paraId="145E2232" w14:textId="77777777" w:rsidR="00937E64" w:rsidRPr="00FE276A" w:rsidRDefault="00FE276A">
      <w:pPr>
        <w:spacing w:after="120"/>
      </w:pPr>
      <w:r w:rsidRPr="00FE276A">
        <w:rPr>
          <w:i/>
          <w:iCs/>
        </w:rPr>
        <w:t>Jul 2016 - Aug 2019</w:t>
      </w:r>
    </w:p>
    <w:p w14:paraId="7A52A5DD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Managed CDM deliverables for 5 sponsor ophthalmology and dermatology studies, coordinating data entry review, query management, and data cleaning across 2,000+ patient records.</w:t>
      </w:r>
    </w:p>
    <w:p w14:paraId="4FB1F6FC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Built 8 clinical databases in Medidata Rave from protocol through go-live, authoring CRF design specs, edit check specifications, and dynamic field logic - achieving first-pass UAT acceptance rate of 92%.</w:t>
      </w:r>
    </w:p>
    <w:p w14:paraId="795D0A5E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Developed standardized edit check library for ophthalmology endpoints (BCVA, IOP, OCT thickness) that was adopted as CRO therapeutic-area template and reused across 4 subsequent sponsor studies.</w:t>
      </w:r>
    </w:p>
    <w:p w14:paraId="0163BCC7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 xml:space="preserve">Coordinated external data transfers from central lab (Covance, </w:t>
      </w:r>
      <w:proofErr w:type="spellStart"/>
      <w:r w:rsidRPr="00FE276A">
        <w:t>BioClinica</w:t>
      </w:r>
      <w:proofErr w:type="spellEnd"/>
      <w:r w:rsidRPr="00FE276A">
        <w:t xml:space="preserve">), </w:t>
      </w:r>
      <w:proofErr w:type="spellStart"/>
      <w:r w:rsidRPr="00FE276A">
        <w:t>eCOA</w:t>
      </w:r>
      <w:proofErr w:type="spellEnd"/>
      <w:r w:rsidRPr="00FE276A">
        <w:t>, and IRT systems, authoring data transfer agreements and performing monthly reconciliation.</w:t>
      </w:r>
    </w:p>
    <w:p w14:paraId="6A4DBEE2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Supported CDISC SDTM mapping activities by providing annotated CRFs and source-to-SDTM traceability documentation to Biostatistics programming teams.</w:t>
      </w:r>
    </w:p>
    <w:p w14:paraId="43A0E4D4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Trained 6 junior data associates on GCP standards, edit check testing, query management, and Medidata Rave navigation - creating onboarding curriculum adopted by CRO CDM department.</w:t>
      </w:r>
    </w:p>
    <w:p w14:paraId="0E778092" w14:textId="77777777" w:rsidR="00937E64" w:rsidRPr="00FE276A" w:rsidRDefault="00937E64"/>
    <w:p w14:paraId="198C1591" w14:textId="77777777" w:rsidR="00937E64" w:rsidRPr="00FE276A" w:rsidRDefault="00FE276A">
      <w:pPr>
        <w:spacing w:after="120"/>
      </w:pPr>
      <w:r w:rsidRPr="00FE276A">
        <w:rPr>
          <w:b/>
          <w:bCs/>
        </w:rPr>
        <w:t>Confidential Contract Research</w:t>
      </w:r>
      <w:r w:rsidRPr="00FE276A">
        <w:t xml:space="preserve"> | Framingham, MA</w:t>
      </w:r>
    </w:p>
    <w:p w14:paraId="2E241BD1" w14:textId="77777777" w:rsidR="00937E64" w:rsidRPr="00FE276A" w:rsidRDefault="00FE276A">
      <w:pPr>
        <w:spacing w:after="120"/>
      </w:pPr>
      <w:r w:rsidRPr="00FE276A">
        <w:rPr>
          <w:b/>
          <w:bCs/>
          <w:i/>
          <w:iCs/>
        </w:rPr>
        <w:t>Clinical Data Associate</w:t>
      </w:r>
    </w:p>
    <w:p w14:paraId="3A4BE6FC" w14:textId="77777777" w:rsidR="00937E64" w:rsidRPr="00FE276A" w:rsidRDefault="00FE276A">
      <w:pPr>
        <w:spacing w:after="120"/>
      </w:pPr>
      <w:r w:rsidRPr="00FE276A">
        <w:rPr>
          <w:i/>
          <w:iCs/>
        </w:rPr>
        <w:t>Jun 2014 - Jun 2016</w:t>
      </w:r>
    </w:p>
    <w:p w14:paraId="0CE92505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lastRenderedPageBreak/>
        <w:t>Performed data entry review and query resolution for 3 Phase I/II clinical studies in ophthalmology and rare disease, maintaining &lt;0.3% error rate across 800+ patient records.</w:t>
      </w:r>
    </w:p>
    <w:p w14:paraId="673DF1A1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 xml:space="preserve">Executed UAT test scripts for Oracle </w:t>
      </w:r>
      <w:proofErr w:type="spellStart"/>
      <w:r w:rsidRPr="00FE276A">
        <w:t>InForm</w:t>
      </w:r>
      <w:proofErr w:type="spellEnd"/>
      <w:r w:rsidRPr="00FE276A">
        <w:t xml:space="preserve"> and Medidata Rave database builds, documenting 200+ test cases with 95% first-pass completion rate.</w:t>
      </w:r>
    </w:p>
    <w:p w14:paraId="4E6B8BE6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Supported Lead CDM with DMP, CCG, and DTA authoring, accelerating documentation timelines and gaining foundational CDM process expertise.</w:t>
      </w:r>
    </w:p>
    <w:p w14:paraId="0EE2CB4D" w14:textId="77777777" w:rsidR="00937E64" w:rsidRPr="00FE276A" w:rsidRDefault="00937E64"/>
    <w:p w14:paraId="2D9E0D29" w14:textId="77777777" w:rsidR="00937E64" w:rsidRPr="00FE276A" w:rsidRDefault="00FE276A">
      <w:pPr>
        <w:spacing w:after="120"/>
      </w:pPr>
      <w:r w:rsidRPr="00FE276A">
        <w:rPr>
          <w:b/>
          <w:bCs/>
          <w:sz w:val="24"/>
          <w:szCs w:val="24"/>
        </w:rPr>
        <w:t>EDUCATION</w:t>
      </w:r>
    </w:p>
    <w:p w14:paraId="236B9C9D" w14:textId="77777777" w:rsidR="00937E64" w:rsidRPr="00FE276A" w:rsidRDefault="00FE276A">
      <w:pPr>
        <w:spacing w:after="120"/>
      </w:pPr>
      <w:r w:rsidRPr="00FE276A">
        <w:t>CDISC CDASH/SDTM Certification, CDISC, 2019</w:t>
      </w:r>
    </w:p>
    <w:p w14:paraId="7263E7C8" w14:textId="77777777" w:rsidR="00937E64" w:rsidRPr="00FE276A" w:rsidRDefault="00FE276A">
      <w:pPr>
        <w:spacing w:after="120"/>
      </w:pPr>
      <w:r w:rsidRPr="00FE276A">
        <w:t>M.S. in Clinical Research Management, Confidential University, 2014</w:t>
      </w:r>
    </w:p>
    <w:p w14:paraId="7DBFDF0F" w14:textId="77777777" w:rsidR="00937E64" w:rsidRPr="00FE276A" w:rsidRDefault="00FE276A">
      <w:pPr>
        <w:spacing w:after="120"/>
      </w:pPr>
      <w:r w:rsidRPr="00FE276A">
        <w:t>B.S. in Health Sciences, Confidential University, 2012</w:t>
      </w:r>
    </w:p>
    <w:p w14:paraId="44DD48F2" w14:textId="77777777" w:rsidR="00937E64" w:rsidRPr="00FE276A" w:rsidRDefault="00937E64"/>
    <w:p w14:paraId="7844478C" w14:textId="77777777" w:rsidR="00937E64" w:rsidRPr="00FE276A" w:rsidRDefault="00FE276A">
      <w:pPr>
        <w:spacing w:after="120"/>
      </w:pPr>
      <w:r w:rsidRPr="00FE276A">
        <w:rPr>
          <w:b/>
          <w:bCs/>
          <w:sz w:val="24"/>
          <w:szCs w:val="24"/>
        </w:rPr>
        <w:t>SKILLS</w:t>
      </w:r>
    </w:p>
    <w:p w14:paraId="6E79CBAE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 xml:space="preserve">EDC Systems: Medidata Rave (8+ years), Veeva Vault CDMS (3 years), Oracle </w:t>
      </w:r>
      <w:proofErr w:type="spellStart"/>
      <w:r w:rsidRPr="00FE276A">
        <w:t>InForm</w:t>
      </w:r>
      <w:proofErr w:type="spellEnd"/>
      <w:r w:rsidRPr="00FE276A">
        <w:t xml:space="preserve"> (5 years)</w:t>
      </w:r>
    </w:p>
    <w:p w14:paraId="5187BBEF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 xml:space="preserve">CDISC Standards: CDASH (implementation), SDTM (annotation/mapping support), </w:t>
      </w:r>
      <w:proofErr w:type="spellStart"/>
      <w:r w:rsidRPr="00FE276A">
        <w:t>ADaM</w:t>
      </w:r>
      <w:proofErr w:type="spellEnd"/>
      <w:r w:rsidRPr="00FE276A">
        <w:t xml:space="preserve"> (awareness), define.xml support</w:t>
      </w:r>
    </w:p>
    <w:p w14:paraId="5F41A50D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Programming/Analytics: SAS (Base, Macros, PROC SQL, data listings), Advanced Excel (macros, pivot tables), Basic R</w:t>
      </w:r>
    </w:p>
    <w:p w14:paraId="7465CCC5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Data Quality: RBQM-aligned data review, KRI-driven cleaning, risk-based monitoring integration</w:t>
      </w:r>
    </w:p>
    <w:p w14:paraId="006D94BC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 xml:space="preserve">Safety/Coding: SAE/AESI reconciliation (Argus), MedDRA, </w:t>
      </w:r>
      <w:proofErr w:type="spellStart"/>
      <w:r w:rsidRPr="00FE276A">
        <w:t>WHODrug</w:t>
      </w:r>
      <w:proofErr w:type="spellEnd"/>
    </w:p>
    <w:p w14:paraId="06EFAAD2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 xml:space="preserve">External Data: Central lab, central reading center (retinal imaging), </w:t>
      </w:r>
      <w:proofErr w:type="spellStart"/>
      <w:r w:rsidRPr="00FE276A">
        <w:t>eCOA</w:t>
      </w:r>
      <w:proofErr w:type="spellEnd"/>
      <w:r w:rsidRPr="00FE276A">
        <w:t>, IRT, PK lab, biomarker assay</w:t>
      </w:r>
    </w:p>
    <w:p w14:paraId="3378E872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Regulatory: GCP/ICH E6(R2), 21 CFR Part 11, RBQM, NDA/BLA submission CDM packages</w:t>
      </w:r>
    </w:p>
    <w:p w14:paraId="407A3E8F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TMF: Veeva Vault RIM, eTMF completeness, TMF reference model</w:t>
      </w:r>
    </w:p>
    <w:p w14:paraId="2CBECDAD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Ophthalmology Endpoints: BCVA, IOP, OCT, slit lamp, fundus photography, central reading center data</w:t>
      </w:r>
    </w:p>
    <w:p w14:paraId="2EE54036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Tools: MS Office Suite (advanced), TEAMS, SharePoint, JIRA, Smartsheet, Confluence</w:t>
      </w:r>
    </w:p>
    <w:p w14:paraId="2BDD33B5" w14:textId="77777777" w:rsidR="00937E64" w:rsidRPr="00FE276A" w:rsidRDefault="00937E64"/>
    <w:p w14:paraId="6015634B" w14:textId="77777777" w:rsidR="00937E64" w:rsidRPr="00FE276A" w:rsidRDefault="00FE276A">
      <w:pPr>
        <w:spacing w:after="120"/>
      </w:pPr>
      <w:r w:rsidRPr="00FE276A">
        <w:rPr>
          <w:b/>
          <w:bCs/>
          <w:sz w:val="24"/>
          <w:szCs w:val="24"/>
        </w:rPr>
        <w:t>AWARDS AND ACTIVITIES</w:t>
      </w:r>
    </w:p>
    <w:p w14:paraId="2F8F2B75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2023 - CDM Excellence Award, Confidential Global Pharma (Ophthalmology Division) - for driving Veeva Vault CDMS migration with zero data loss</w:t>
      </w:r>
    </w:p>
    <w:p w14:paraId="228300F8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2022 - Speaker, DIA Annual Meeting - "RBQM-Aligned CDM Strategies in Ophthalmic Trials"</w:t>
      </w:r>
    </w:p>
    <w:p w14:paraId="16C8FF4A" w14:textId="77777777" w:rsidR="00937E64" w:rsidRPr="00FE276A" w:rsidRDefault="00FE276A">
      <w:pPr>
        <w:pStyle w:val="ListParagraph"/>
        <w:numPr>
          <w:ilvl w:val="0"/>
          <w:numId w:val="2"/>
        </w:numPr>
        <w:spacing w:after="60"/>
      </w:pPr>
      <w:r w:rsidRPr="00FE276A">
        <w:t>2020 - SCDM Member, Society for Clinical Data Management</w:t>
      </w:r>
    </w:p>
    <w:sectPr w:rsidR="00937E64" w:rsidRPr="00FE276A" w:rsidSect="00FE276A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DF0E1" w14:textId="77777777" w:rsidR="00FE276A" w:rsidRDefault="00FE276A">
      <w:r>
        <w:separator/>
      </w:r>
    </w:p>
  </w:endnote>
  <w:endnote w:type="continuationSeparator" w:id="0">
    <w:p w14:paraId="49AB8E78" w14:textId="77777777" w:rsidR="00FE276A" w:rsidRDefault="00FE2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A14FF" w14:textId="77777777" w:rsidR="00937E64" w:rsidRDefault="00FE276A">
    <w:pPr>
      <w:pBdr>
        <w:top w:val="single" w:sz="4" w:space="1" w:color="CCCCCC"/>
      </w:pBdr>
      <w:jc w:val="center"/>
    </w:pPr>
    <w:r>
      <w:rPr>
        <w:color w:val="999999"/>
        <w:sz w:val="16"/>
        <w:szCs w:val="16"/>
      </w:rPr>
      <w:t>CONFIDENTIAL - Bryan Blair | GQR | bryan.blair@gqr.com | (737) 707-4477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3714F" w14:textId="77777777" w:rsidR="00FE276A" w:rsidRDefault="00FE276A">
      <w:r>
        <w:separator/>
      </w:r>
    </w:p>
  </w:footnote>
  <w:footnote w:type="continuationSeparator" w:id="0">
    <w:p w14:paraId="5D7184F1" w14:textId="77777777" w:rsidR="00FE276A" w:rsidRDefault="00FE2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07963" w14:textId="77777777" w:rsidR="00937E64" w:rsidRDefault="00FE276A">
    <w:pPr>
      <w:pBdr>
        <w:bottom w:val="single" w:sz="6" w:space="1" w:color="1F3864"/>
      </w:pBdr>
    </w:pPr>
    <w:proofErr w:type="gramStart"/>
    <w:r>
      <w:rPr>
        <w:b/>
        <w:bCs/>
        <w:color w:val="666666"/>
        <w:sz w:val="18"/>
        <w:szCs w:val="18"/>
      </w:rPr>
      <w:t>GQR  |</w:t>
    </w:r>
    <w:proofErr w:type="gramEnd"/>
    <w:r>
      <w:rPr>
        <w:b/>
        <w:bCs/>
        <w:color w:val="666666"/>
        <w:sz w:val="18"/>
        <w:szCs w:val="18"/>
      </w:rPr>
      <w:t xml:space="preserve">  Confidential Candidate 2 - Manager, Clinical Data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15B6A"/>
    <w:multiLevelType w:val="hybridMultilevel"/>
    <w:tmpl w:val="60AC16DC"/>
    <w:lvl w:ilvl="0" w:tplc="552041CA">
      <w:start w:val="1"/>
      <w:numFmt w:val="bullet"/>
      <w:lvlText w:val="●"/>
      <w:lvlJc w:val="left"/>
      <w:pPr>
        <w:ind w:left="720" w:hanging="360"/>
      </w:pPr>
    </w:lvl>
    <w:lvl w:ilvl="1" w:tplc="3640942E">
      <w:start w:val="1"/>
      <w:numFmt w:val="bullet"/>
      <w:lvlText w:val="○"/>
      <w:lvlJc w:val="left"/>
      <w:pPr>
        <w:ind w:left="1440" w:hanging="360"/>
      </w:pPr>
    </w:lvl>
    <w:lvl w:ilvl="2" w:tplc="1A7094D8">
      <w:start w:val="1"/>
      <w:numFmt w:val="bullet"/>
      <w:lvlText w:val="■"/>
      <w:lvlJc w:val="left"/>
      <w:pPr>
        <w:ind w:left="2160" w:hanging="360"/>
      </w:pPr>
    </w:lvl>
    <w:lvl w:ilvl="3" w:tplc="9C1E90F0">
      <w:start w:val="1"/>
      <w:numFmt w:val="bullet"/>
      <w:lvlText w:val="●"/>
      <w:lvlJc w:val="left"/>
      <w:pPr>
        <w:ind w:left="2880" w:hanging="360"/>
      </w:pPr>
    </w:lvl>
    <w:lvl w:ilvl="4" w:tplc="D9A417BE">
      <w:start w:val="1"/>
      <w:numFmt w:val="bullet"/>
      <w:lvlText w:val="○"/>
      <w:lvlJc w:val="left"/>
      <w:pPr>
        <w:ind w:left="3600" w:hanging="360"/>
      </w:pPr>
    </w:lvl>
    <w:lvl w:ilvl="5" w:tplc="1F22C0CA">
      <w:start w:val="1"/>
      <w:numFmt w:val="bullet"/>
      <w:lvlText w:val="■"/>
      <w:lvlJc w:val="left"/>
      <w:pPr>
        <w:ind w:left="4320" w:hanging="360"/>
      </w:pPr>
    </w:lvl>
    <w:lvl w:ilvl="6" w:tplc="A2C85DCA">
      <w:start w:val="1"/>
      <w:numFmt w:val="bullet"/>
      <w:lvlText w:val="●"/>
      <w:lvlJc w:val="left"/>
      <w:pPr>
        <w:ind w:left="5040" w:hanging="360"/>
      </w:pPr>
    </w:lvl>
    <w:lvl w:ilvl="7" w:tplc="AB461AD6">
      <w:start w:val="1"/>
      <w:numFmt w:val="bullet"/>
      <w:lvlText w:val="●"/>
      <w:lvlJc w:val="left"/>
      <w:pPr>
        <w:ind w:left="5760" w:hanging="360"/>
      </w:pPr>
    </w:lvl>
    <w:lvl w:ilvl="8" w:tplc="E5407E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2D1B7B"/>
    <w:multiLevelType w:val="hybridMultilevel"/>
    <w:tmpl w:val="E840726E"/>
    <w:lvl w:ilvl="0" w:tplc="5C7C996A">
      <w:start w:val="1"/>
      <w:numFmt w:val="bullet"/>
      <w:lvlText w:val="•"/>
      <w:lvlJc w:val="left"/>
      <w:pPr>
        <w:ind w:left="720" w:hanging="360"/>
      </w:pPr>
    </w:lvl>
    <w:lvl w:ilvl="1" w:tplc="14C8B3CC">
      <w:numFmt w:val="decimal"/>
      <w:lvlText w:val=""/>
      <w:lvlJc w:val="left"/>
    </w:lvl>
    <w:lvl w:ilvl="2" w:tplc="14AEDB1A">
      <w:numFmt w:val="decimal"/>
      <w:lvlText w:val=""/>
      <w:lvlJc w:val="left"/>
    </w:lvl>
    <w:lvl w:ilvl="3" w:tplc="0F3E05D4">
      <w:numFmt w:val="decimal"/>
      <w:lvlText w:val=""/>
      <w:lvlJc w:val="left"/>
    </w:lvl>
    <w:lvl w:ilvl="4" w:tplc="FA24CDB6">
      <w:numFmt w:val="decimal"/>
      <w:lvlText w:val=""/>
      <w:lvlJc w:val="left"/>
    </w:lvl>
    <w:lvl w:ilvl="5" w:tplc="6698452C">
      <w:numFmt w:val="decimal"/>
      <w:lvlText w:val=""/>
      <w:lvlJc w:val="left"/>
    </w:lvl>
    <w:lvl w:ilvl="6" w:tplc="25769BBA">
      <w:numFmt w:val="decimal"/>
      <w:lvlText w:val=""/>
      <w:lvlJc w:val="left"/>
    </w:lvl>
    <w:lvl w:ilvl="7" w:tplc="C6B00060">
      <w:numFmt w:val="decimal"/>
      <w:lvlText w:val=""/>
      <w:lvlJc w:val="left"/>
    </w:lvl>
    <w:lvl w:ilvl="8" w:tplc="AA82DD08">
      <w:numFmt w:val="decimal"/>
      <w:lvlText w:val=""/>
      <w:lvlJc w:val="left"/>
    </w:lvl>
  </w:abstractNum>
  <w:num w:numId="1" w16cid:durableId="135687079">
    <w:abstractNumId w:val="0"/>
    <w:lvlOverride w:ilvl="0">
      <w:startOverride w:val="1"/>
    </w:lvlOverride>
  </w:num>
  <w:num w:numId="2" w16cid:durableId="13446686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E64"/>
    <w:rsid w:val="002660F0"/>
    <w:rsid w:val="00937E64"/>
    <w:rsid w:val="00FE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9D4A8"/>
  <w15:docId w15:val="{7FF350C5-E1A6-4504-A514-6DD378E5B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1132</Words>
  <Characters>7180</Characters>
  <Application>Microsoft Office Word</Application>
  <DocSecurity>0</DocSecurity>
  <Lines>126</Lines>
  <Paragraphs>67</Paragraphs>
  <ScaleCrop>false</ScaleCrop>
  <Company/>
  <LinksUpToDate>false</LinksUpToDate>
  <CharactersWithSpaces>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Blair</cp:lastModifiedBy>
  <cp:revision>2</cp:revision>
  <dcterms:created xsi:type="dcterms:W3CDTF">2026-02-25T16:58:00Z</dcterms:created>
  <dcterms:modified xsi:type="dcterms:W3CDTF">2026-02-25T16:58:00Z</dcterms:modified>
</cp:coreProperties>
</file>