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CONFIDENTIAL CANDIDATE</w:t>
      </w:r>
    </w:p>
    <w:p/>
    <w:p>
      <w:pPr>
        <w:pBdr>
          <w:bottom w:val="single" w:color="auto" w:sz="4" w:space="1"/>
        </w:pBd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Strategic, seasoned radiopharmaceutical clinical development executive with 14+ years of progressive industry experience driving radioligand therapy programs from IND through NDA/BLA approval across global geographies.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Proven track record of 2 successful radiopharmaceutical regulatory submissions, including direct leadership of theranostic companion diagnostic co-development programs.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Recognized for calm, decisive leadership in complex nuclear medicine logistics environments, building high-performing cross-functional teams, and maintaining deep relationships with KOLs, investigators, and regulatory authorities globally.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San Diego resident, immediately commutable for hybrid. Seeking ~$390K base for SVP-level Clinical Development opportunity.</w:t>
      </w:r>
    </w:p>
    <w:p/>
    <w:p>
      <w:pPr>
        <w:pBdr>
          <w:bottom w:val="single" w:color="auto" w:sz="4" w:space="1"/>
        </w:pBd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/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Pharma</w:t>
      </w:r>
      <w:r>
        <w:rPr>
          <w:rFonts w:ascii="Calibri" w:cs="Calibri" w:eastAsia="Calibri" w:hAnsi="Calibri"/>
          <w:sz w:val="22"/>
          <w:szCs w:val="22"/>
        </w:rPr>
        <w:t xml:space="preserve"> | Global Radiopharmaceutical Division | San Diego, CA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Vice President, Clinical Development — Radiopharmaceuticals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Apr 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Served as clinical development lead for 2 radioligand therapy programs from Phase 1 through NDA/BLA submission, both achieving successful FDA approval within projected timelines.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and oversaw theranostic development strategy including companion diagnostic imaging agent co-development, ensuring synchronized regulatory submissions across therapeutic and diagnostic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FIH dose escalation studies for alpha-emitter and beta-emitter radioligand therapies, managing complex dosimetry assessment, imaging-guided patient selection, and nuclear medicine safety protocols across 15+ global clinical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and managed clinical development organization of 18, including 4 direct reports (clinical science directors, medical monitors, and clinical pharmacology).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Directed all regulatory agency interactions for radiopharmaceutical programs, including FDA Type A/B/C meetings, EMA Scientific Advice, and PMDA consultations. Achieved Breakthrough Therapy Designation for lead program.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Established KOL advisory network of 25+ radiation oncologists and nuclear medicine physicians at NCI-designated cancer centers, driving enrollment and scientific congress engagement (ASCO, SNMMI, ESMO presentations).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clinical program budgets exceeding $12M annually, coordinating with CMC, nuclear pharmacy, and radioactive materials logistics teams to ensure uninterrupted supply chain across multi-national studies.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Co-authored 8 peer-reviewed publications on radioligand therapy clinical outcomes and presented data at ASCO, SNMMI, and ESMO.</w:t>
      </w:r>
    </w:p>
    <w:p/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Senior Director, Clinical Development — Nuclear Medicine Oncology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Sep 2019 – Mar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clinical development activities for a first-in-class radioligand therapeutic targeting solid tumors, from FIH dose escalation through Phase 2 expansion cohorts.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dosimetry-guided dose escalation strategy incorporating imaging-based patient selection, resulting in optimized therapeutic index and favorable safety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cross-functional program team spanning research, CMC, regulatory, and commercial, recognized for bridging scientific and operational perspectives in nuclear medicine.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Supported NDA/BLA submission activities including authoring clinical overview, integrated summary of safety, and integrated summary of efficacy.</w:t>
      </w:r>
    </w:p>
    <w:p/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Biopharma</w:t>
      </w:r>
      <w:r>
        <w:rPr>
          <w:rFonts w:ascii="Calibri" w:cs="Calibri" w:eastAsia="Calibri" w:hAnsi="Calibri"/>
          <w:sz w:val="22"/>
          <w:szCs w:val="22"/>
        </w:rPr>
        <w:t xml:space="preserve"> | Oncology Clinical Development | La Jolla, CA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Director, Clinical Development — Oncology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Jan 2017 – Aug 2019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Senior Medical Director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Jun 2014 – Dec 2016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clinical development for a Phase 2/3 program in metastatic castration-resistant prostate cancer (mCRPC), managing protocol design, site activation across 12 countries, and integrated safety/efficacy analyses.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Contributed to the regulatory submission package for a targeted oncology therapeutic, authoring clinical overview and integrated summary of safety for NDA filing.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Served as medical monitor for 3 concurrent oncology trials enrolling 600+ patients globally, with zero FDA clinical holds during tenure.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Represented clinical development in cross-functional program team spanning research, CMC, commercial, and regulatory.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Mentored 6 clinical scientists through career progression from Scientist to Senior Director level.</w:t>
      </w:r>
    </w:p>
    <w:p/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Academic Medical Center</w:t>
      </w:r>
      <w:r>
        <w:rPr>
          <w:rFonts w:ascii="Calibri" w:cs="Calibri" w:eastAsia="Calibri" w:hAnsi="Calibri"/>
          <w:sz w:val="22"/>
          <w:szCs w:val="22"/>
        </w:rPr>
        <w:t xml:space="preserve"> | Hematology-Oncology / Nuclear Medicine Research | San Diego, CA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Assistant Professor, Medicine (Hematology-Oncology)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Jul 2010 – May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Conducted investigator-initiated research on radionuclide imaging and targeted radionuclide therapy in GI malignancies, publishing 4 peer-reviewed manuscripts.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Served as PI or sub-investigator on 5 industry-sponsored Phase 1-2 oncology clinical trials.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Completed Nuclear Medicine research fellowship focused on radiopharmaceutical biodistribution and dosimetry assessment methodologies.</w:t>
      </w:r>
    </w:p>
    <w:p/>
    <w:p>
      <w:pPr>
        <w:pBdr>
          <w:bottom w:val="single" w:color="auto" w:sz="4" w:space="1"/>
        </w:pBd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Doctor of Medicine (M.D.) — Confidential University School of Medicine, 2007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Residency, Internal Medicine — Confidential University Hospital, 2010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Fellowship, Hematology-Oncology — Confidential Cancer Center, 2012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Nuclear Medicine Research Fellowship — Confidential Academic Medical Center, 2011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Bachelor of Science, Molecular Biology — Confidential University, 2003</w:t>
      </w:r>
    </w:p>
    <w:p/>
    <w:p>
      <w:pPr>
        <w:pBdr>
          <w:bottom w:val="single" w:color="auto" w:sz="4" w:space="1"/>
        </w:pBd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BOARD CERTIFICATION &amp; LICENSURE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Board Certified, Internal Medicine (ABIM)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Board Certified, Medical Oncology (ABIM)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Board Eligible, Nuclear Medicine (ABR) — fellowship-trained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Active California Medical License</w:t>
      </w:r>
    </w:p>
    <w:p/>
    <w:p>
      <w:pPr>
        <w:pBdr>
          <w:bottom w:val="single" w:color="auto" w:sz="4" w:space="1"/>
        </w:pBd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PUBLICATIONS &amp; PRESENTATIONS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 peer-reviewed publications in radioligand therapy, radiopharmaceutical clinical development, and solid tumor oncology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 podium/poster presentations at ASCO, SNMMI, and ESMO (2019–2025)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Co-author on 2 clinical practice guidelines for radionuclide therapy dosimetry</w:t>
      </w:r>
    </w:p>
    <w:p/>
    <w:p>
      <w:pPr>
        <w:pBdr>
          <w:bottom w:val="single" w:color="auto" w:sz="4" w:space="1"/>
        </w:pBd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Clinical Development: Radioligand Therapy (RLT), Theranostic Strategy, Companion Diagnostic Co-Development, First-in-Human Trial Design, Dose Escalation &amp; Dosimetry, NDA/BLA Submissions, Phase 1-3 Oversight | Oncology: Solid Tumors (Prostate, Breast, Lung, GI), Nuclear Medicine Safety &amp; Logistics, Radiopharmaceutical Supply Chain | Regulatory: Global Regulatory Strategy (FDA, EMA, PMDA), Breakthrough Therapy Designation, GCP, ICH E6(R2) | Leadership: KOL Engagement (ASCO, SNMMI, ESMO), Cross-Functional Teams, Program Budgets ($12M+), Team Building (18 reports)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2026-03-05T19:28:59.301Z</dcterms:created>
  <dcterms:modified xsi:type="dcterms:W3CDTF">2026-03-05T19:28:59.302Z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