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14F50" w14:textId="2F6378F0" w:rsidR="00103D0B" w:rsidRDefault="00103D0B" w:rsidP="00103D0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103D0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CONFIDENTIAL CANDIDATE #2</w:t>
      </w:r>
    </w:p>
    <w:p w14:paraId="7C24ADE2" w14:textId="77777777" w:rsidR="00103D0B" w:rsidRPr="00103D0B" w:rsidRDefault="00103D0B" w:rsidP="00103D0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0B6C77D9" w14:textId="77777777" w:rsidR="00103D0B" w:rsidRPr="00103D0B" w:rsidRDefault="00103D0B" w:rsidP="00103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SUMMARY</w:t>
      </w:r>
    </w:p>
    <w:p w14:paraId="5B3E73C2" w14:textId="77777777" w:rsidR="00103D0B" w:rsidRPr="00103D0B" w:rsidRDefault="00103D0B" w:rsidP="00103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MD with 15+ years of progressive pharmacovigilance leadership across Big Pharma and biotech. Served as Qualified Person for Pharmacovigilance (QPPV) for US and EU operations supporting 3 successful commercial launches in oncology. Deep expertise in global PV systems, regulatory agency negotiations, and building safety organizations from startup through commercial scale. Strategic advisor to executive teams on benefit-risk assessment and regulatory strategy. Track record of zero critical inspection findings across 10+ FDA and EMA audits.</w:t>
      </w:r>
    </w:p>
    <w:p w14:paraId="05EBAE99" w14:textId="77777777" w:rsidR="00103D0B" w:rsidRPr="00103D0B" w:rsidRDefault="00103D0B" w:rsidP="00103D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pict w14:anchorId="6CCCB7FD">
          <v:rect id="_x0000_i1025" style="width:0;height:1.5pt" o:hralign="center" o:hrstd="t" o:hr="t" fillcolor="#a0a0a0" stroked="f"/>
        </w:pict>
      </w:r>
    </w:p>
    <w:p w14:paraId="3D95E43F" w14:textId="77777777" w:rsidR="00103D0B" w:rsidRPr="00103D0B" w:rsidRDefault="00103D0B" w:rsidP="00103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EXPERIENCE</w:t>
      </w:r>
    </w:p>
    <w:p w14:paraId="3A62155C" w14:textId="77777777" w:rsidR="00103D0B" w:rsidRPr="00103D0B" w:rsidRDefault="00103D0B" w:rsidP="00103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Biosciences</w:t>
      </w:r>
      <w:r w:rsidRPr="00103D0B">
        <w:rPr>
          <w:rFonts w:ascii="Times New Roman" w:eastAsia="Times New Roman" w:hAnsi="Times New Roman" w:cs="Times New Roman"/>
          <w:kern w:val="0"/>
          <w14:ligatures w14:val="none"/>
        </w:rPr>
        <w:t xml:space="preserve"> (Big Pharma, Oncology Division)</w:t>
      </w:r>
      <w:r w:rsidRPr="00103D0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03D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Vice President, Drug Safety &amp; Pharmacovigilance</w:t>
      </w:r>
      <w:r w:rsidRPr="00103D0B">
        <w:rPr>
          <w:rFonts w:ascii="Times New Roman" w:eastAsia="Times New Roman" w:hAnsi="Times New Roman" w:cs="Times New Roman"/>
          <w:kern w:val="0"/>
          <w14:ligatures w14:val="none"/>
        </w:rPr>
        <w:t xml:space="preserve"> | January 2018 - Present</w:t>
      </w:r>
    </w:p>
    <w:p w14:paraId="5FDA4768" w14:textId="77777777" w:rsidR="00103D0B" w:rsidRPr="00103D0B" w:rsidRDefault="00103D0B" w:rsidP="00103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Serve as QPPV and head of global pharmacovigilance for oncology business unit with 5 marketed products, 8 clinical programs, and $2.3B annual revenue across US, EU, and Asia-Pacific markets</w:t>
      </w:r>
    </w:p>
    <w:p w14:paraId="53F24A94" w14:textId="77777777" w:rsidR="00103D0B" w:rsidRPr="00103D0B" w:rsidRDefault="00103D0B" w:rsidP="00103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Lead global PV organization of 85+ professionals including physicians, safety scientists, database specialists, and quality assurance across 4 global hubs</w:t>
      </w:r>
    </w:p>
    <w:p w14:paraId="1123FBE4" w14:textId="77777777" w:rsidR="00103D0B" w:rsidRPr="00103D0B" w:rsidRDefault="00103D0B" w:rsidP="00103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Directed pharmacovigilance strategy for 2 successful oncology product launches (2019, 2022), establishing post-marketing surveillance systems in 35+ countries and managing safety database of 45,000+ cases annually</w:t>
      </w:r>
    </w:p>
    <w:p w14:paraId="2C83116D" w14:textId="77777777" w:rsidR="00103D0B" w:rsidRPr="00103D0B" w:rsidRDefault="00103D0B" w:rsidP="00103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Serve as senior safety spokesperson in regulatory interactions including 6 FDA meetings, 4 EMA Scientific Advice sessions, and participation in 2 Advisory Committee meetings</w:t>
      </w:r>
    </w:p>
    <w:p w14:paraId="3B4053E5" w14:textId="77777777" w:rsidR="00103D0B" w:rsidRPr="00103D0B" w:rsidRDefault="00103D0B" w:rsidP="00103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Led benefit-risk assessment strategy resulting in successful label expansions for 2 oncology products, adding $400M+ in incremental revenue</w:t>
      </w:r>
    </w:p>
    <w:p w14:paraId="2DDF551B" w14:textId="77777777" w:rsidR="00103D0B" w:rsidRPr="00103D0B" w:rsidRDefault="00103D0B" w:rsidP="00103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Oversee annual PV budget of $18M and staffing projections aligned with portfolio growth and regulatory requirements</w:t>
      </w:r>
    </w:p>
    <w:p w14:paraId="6BD0A946" w14:textId="77777777" w:rsidR="00103D0B" w:rsidRPr="00103D0B" w:rsidRDefault="00103D0B" w:rsidP="00103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Designed and implemented signal detection methodologies using advanced analytics and AI tools, reducing time-to-detection by 40% while improving sensitivity</w:t>
      </w:r>
    </w:p>
    <w:p w14:paraId="3EFAD2AC" w14:textId="77777777" w:rsidR="00103D0B" w:rsidRPr="00103D0B" w:rsidRDefault="00103D0B" w:rsidP="00103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Managed successful outcomes in 10+ regulatory inspections (FDA, EMA, PMDA) with zero critical findings and positive inspection reports</w:t>
      </w:r>
    </w:p>
    <w:p w14:paraId="3770EE38" w14:textId="77777777" w:rsidR="00103D0B" w:rsidRPr="00103D0B" w:rsidRDefault="00103D0B" w:rsidP="00103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Developed and maintain PSMF (Pharmacovigilance System Master File) for EU operations ensuring compliance with GVP modules</w:t>
      </w:r>
    </w:p>
    <w:p w14:paraId="026FBD1A" w14:textId="77777777" w:rsidR="00103D0B" w:rsidRPr="00103D0B" w:rsidRDefault="00103D0B" w:rsidP="00103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Built pharmacovigilance quality management system achieving ISO 9001 certification for safety operations</w:t>
      </w:r>
    </w:p>
    <w:p w14:paraId="13B6515C" w14:textId="77777777" w:rsidR="00103D0B" w:rsidRPr="00103D0B" w:rsidRDefault="00103D0B" w:rsidP="00103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Principal Responsibilities as QPPV:</w:t>
      </w:r>
    </w:p>
    <w:p w14:paraId="545BF1C4" w14:textId="77777777" w:rsidR="00103D0B" w:rsidRPr="00103D0B" w:rsidRDefault="00103D0B" w:rsidP="00103D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Final medical oversight for all safety data evaluation and regulatory reporting across oncology portfolio</w:t>
      </w:r>
    </w:p>
    <w:p w14:paraId="6656D7A6" w14:textId="77777777" w:rsidR="00103D0B" w:rsidRPr="00103D0B" w:rsidRDefault="00103D0B" w:rsidP="00103D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Sign-off authority for expedited reports, PBRERs, DSURs, PSURs, RMPs, and safety-related regulatory submissions</w:t>
      </w:r>
    </w:p>
    <w:p w14:paraId="2C9BE747" w14:textId="77777777" w:rsidR="00103D0B" w:rsidRPr="00103D0B" w:rsidRDefault="00103D0B" w:rsidP="00103D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Direct relationship with competent authorities as designated safety contact for oncology products</w:t>
      </w:r>
    </w:p>
    <w:p w14:paraId="74045ED0" w14:textId="77777777" w:rsidR="00103D0B" w:rsidRPr="00103D0B" w:rsidRDefault="00103D0B" w:rsidP="00103D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Oversight of global PV system ensuring compliance with US, EU, and international regulations</w:t>
      </w:r>
    </w:p>
    <w:p w14:paraId="66B65177" w14:textId="77777777" w:rsidR="00103D0B" w:rsidRPr="00103D0B" w:rsidRDefault="00103D0B" w:rsidP="00103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Confidential Therapeutics</w:t>
      </w:r>
      <w:r w:rsidRPr="00103D0B">
        <w:rPr>
          <w:rFonts w:ascii="Times New Roman" w:eastAsia="Times New Roman" w:hAnsi="Times New Roman" w:cs="Times New Roman"/>
          <w:kern w:val="0"/>
          <w14:ligatures w14:val="none"/>
        </w:rPr>
        <w:t xml:space="preserve"> (Mid-sized biotech, Boston)</w:t>
      </w:r>
      <w:r w:rsidRPr="00103D0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03D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Director, Global Drug Safety</w:t>
      </w:r>
      <w:r w:rsidRPr="00103D0B">
        <w:rPr>
          <w:rFonts w:ascii="Times New Roman" w:eastAsia="Times New Roman" w:hAnsi="Times New Roman" w:cs="Times New Roman"/>
          <w:kern w:val="0"/>
          <w14:ligatures w14:val="none"/>
        </w:rPr>
        <w:t xml:space="preserve"> | May 2014 - December 2017</w:t>
      </w:r>
    </w:p>
    <w:p w14:paraId="7B601E77" w14:textId="77777777" w:rsidR="00103D0B" w:rsidRPr="00103D0B" w:rsidRDefault="00103D0B" w:rsidP="00103D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Built and led global pharmacovigilance function from 12-person team to 40-person operation supporting successful commercial launch of first-in-class oncology therapy</w:t>
      </w:r>
    </w:p>
    <w:p w14:paraId="317DAC13" w14:textId="77777777" w:rsidR="00103D0B" w:rsidRPr="00103D0B" w:rsidRDefault="00103D0B" w:rsidP="00103D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Led PV strategy through BLA approval process including preparation of integrated safety summary, responses to FDA safety questions, and pre-approval inspection</w:t>
      </w:r>
    </w:p>
    <w:p w14:paraId="3D3F1DA9" w14:textId="77777777" w:rsidR="00103D0B" w:rsidRPr="00103D0B" w:rsidRDefault="00103D0B" w:rsidP="00103D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Implemented Oracle Argus database system across 8 global affiliates, establishing standardized case processing workflows and training 60+ users</w:t>
      </w:r>
    </w:p>
    <w:p w14:paraId="39619E2F" w14:textId="77777777" w:rsidR="00103D0B" w:rsidRPr="00103D0B" w:rsidRDefault="00103D0B" w:rsidP="00103D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Served as medical safety officer for NDA submission, coordinating safety sections of Common Technical Document and presenting benefit-risk analysis to FDA during review meetings</w:t>
      </w:r>
    </w:p>
    <w:p w14:paraId="70FE36FB" w14:textId="77777777" w:rsidR="00103D0B" w:rsidRPr="00103D0B" w:rsidRDefault="00103D0B" w:rsidP="00103D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Established post-marketing safety surveillance system across US and 12 European countries within 4 months of product approval</w:t>
      </w:r>
    </w:p>
    <w:p w14:paraId="63902714" w14:textId="77777777" w:rsidR="00103D0B" w:rsidRPr="00103D0B" w:rsidRDefault="00103D0B" w:rsidP="00103D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Managed pharmacovigilance agreements with 20+ partners including co-promotion partners, distributors, and CROs ensuring global safety data exchange</w:t>
      </w:r>
    </w:p>
    <w:p w14:paraId="2C3819AF" w14:textId="77777777" w:rsidR="00103D0B" w:rsidRPr="00103D0B" w:rsidRDefault="00103D0B" w:rsidP="00103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Director, Pharmacovigilance</w:t>
      </w:r>
      <w:r w:rsidRPr="00103D0B">
        <w:rPr>
          <w:rFonts w:ascii="Times New Roman" w:eastAsia="Times New Roman" w:hAnsi="Times New Roman" w:cs="Times New Roman"/>
          <w:kern w:val="0"/>
          <w14:ligatures w14:val="none"/>
        </w:rPr>
        <w:t xml:space="preserve"> | August 2011 - April 2014</w:t>
      </w:r>
    </w:p>
    <w:p w14:paraId="7F3E2C3B" w14:textId="77777777" w:rsidR="00103D0B" w:rsidRPr="00103D0B" w:rsidRDefault="00103D0B" w:rsidP="00103D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Managed day-to-day PV operations for 3 Phase 2/3 oncology programs across US and EU</w:t>
      </w:r>
    </w:p>
    <w:p w14:paraId="0F33D596" w14:textId="77777777" w:rsidR="00103D0B" w:rsidRPr="00103D0B" w:rsidRDefault="00103D0B" w:rsidP="00103D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Led medical evaluation of complex oncology adverse events including fatal SAEs, requiring clinical judgment and deep therapeutic expertise</w:t>
      </w:r>
    </w:p>
    <w:p w14:paraId="5295A299" w14:textId="77777777" w:rsidR="00103D0B" w:rsidRPr="00103D0B" w:rsidRDefault="00103D0B" w:rsidP="00103D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Developed risk management strategies for 2 significant safety signals identified during clinical development</w:t>
      </w:r>
    </w:p>
    <w:p w14:paraId="518BAFE2" w14:textId="77777777" w:rsidR="00103D0B" w:rsidRPr="00103D0B" w:rsidRDefault="00103D0B" w:rsidP="00103D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Contributed to IND submissions, clinical protocols, investigator brochures, and clinical study reports</w:t>
      </w:r>
    </w:p>
    <w:p w14:paraId="76E744F1" w14:textId="77777777" w:rsidR="00103D0B" w:rsidRPr="00103D0B" w:rsidRDefault="00103D0B" w:rsidP="00103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Research Institute</w:t>
      </w:r>
      <w:r w:rsidRPr="00103D0B">
        <w:rPr>
          <w:rFonts w:ascii="Times New Roman" w:eastAsia="Times New Roman" w:hAnsi="Times New Roman" w:cs="Times New Roman"/>
          <w:kern w:val="0"/>
          <w14:ligatures w14:val="none"/>
        </w:rPr>
        <w:t xml:space="preserve"> (Academic medical center)</w:t>
      </w:r>
      <w:r w:rsidRPr="00103D0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03D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Investigator &amp; Research Physician</w:t>
      </w:r>
      <w:r w:rsidRPr="00103D0B">
        <w:rPr>
          <w:rFonts w:ascii="Times New Roman" w:eastAsia="Times New Roman" w:hAnsi="Times New Roman" w:cs="Times New Roman"/>
          <w:kern w:val="0"/>
          <w14:ligatures w14:val="none"/>
        </w:rPr>
        <w:t xml:space="preserve"> | July 2008 - July 2011</w:t>
      </w:r>
    </w:p>
    <w:p w14:paraId="214CDB92" w14:textId="77777777" w:rsidR="00103D0B" w:rsidRPr="00103D0B" w:rsidRDefault="00103D0B" w:rsidP="00103D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Conducted clinical research in hematologic malignancies as principal investigator on 4 investigator-initiated trials</w:t>
      </w:r>
    </w:p>
    <w:p w14:paraId="1C9039FF" w14:textId="77777777" w:rsidR="00103D0B" w:rsidRPr="00103D0B" w:rsidRDefault="00103D0B" w:rsidP="00103D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Served as sub-investigator on 15+ industry-sponsored oncology trials across Phase 1-3</w:t>
      </w:r>
    </w:p>
    <w:p w14:paraId="640DA9D3" w14:textId="77777777" w:rsidR="00103D0B" w:rsidRPr="00103D0B" w:rsidRDefault="00103D0B" w:rsidP="00103D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Provided medical monitoring and safety oversight for early-phase oncology studies</w:t>
      </w:r>
    </w:p>
    <w:p w14:paraId="7B38FAB6" w14:textId="77777777" w:rsidR="00103D0B" w:rsidRPr="00103D0B" w:rsidRDefault="00103D0B" w:rsidP="00103D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Published 12 peer-reviewed articles on cancer therapeutics and adverse event management</w:t>
      </w:r>
    </w:p>
    <w:p w14:paraId="53F70A02" w14:textId="77777777" w:rsidR="00103D0B" w:rsidRPr="00103D0B" w:rsidRDefault="00103D0B" w:rsidP="00103D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pict w14:anchorId="04BB4D4A">
          <v:rect id="_x0000_i1026" style="width:0;height:1.5pt" o:hralign="center" o:hrstd="t" o:hr="t" fillcolor="#a0a0a0" stroked="f"/>
        </w:pict>
      </w:r>
    </w:p>
    <w:p w14:paraId="4747CC29" w14:textId="77777777" w:rsidR="00103D0B" w:rsidRPr="00103D0B" w:rsidRDefault="00103D0B" w:rsidP="00103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</w:p>
    <w:p w14:paraId="28702E24" w14:textId="77777777" w:rsidR="00103D0B" w:rsidRPr="00103D0B" w:rsidRDefault="00103D0B" w:rsidP="00103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Medical School</w:t>
      </w: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, 2008</w:t>
      </w:r>
      <w:r w:rsidRPr="00103D0B">
        <w:rPr>
          <w:rFonts w:ascii="Times New Roman" w:eastAsia="Times New Roman" w:hAnsi="Times New Roman" w:cs="Times New Roman"/>
          <w:kern w:val="0"/>
          <w14:ligatures w14:val="none"/>
        </w:rPr>
        <w:br/>
        <w:t>Doctor of Medicine (MD)</w:t>
      </w:r>
      <w:r w:rsidRPr="00103D0B">
        <w:rPr>
          <w:rFonts w:ascii="Times New Roman" w:eastAsia="Times New Roman" w:hAnsi="Times New Roman" w:cs="Times New Roman"/>
          <w:kern w:val="0"/>
          <w14:ligatures w14:val="none"/>
        </w:rPr>
        <w:br/>
        <w:t>Alpha Omega Alpha Honor Society</w:t>
      </w:r>
    </w:p>
    <w:p w14:paraId="72A6EE78" w14:textId="77777777" w:rsidR="00103D0B" w:rsidRPr="00103D0B" w:rsidRDefault="00103D0B" w:rsidP="00103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University</w:t>
      </w: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, 2004</w:t>
      </w:r>
      <w:r w:rsidRPr="00103D0B">
        <w:rPr>
          <w:rFonts w:ascii="Times New Roman" w:eastAsia="Times New Roman" w:hAnsi="Times New Roman" w:cs="Times New Roman"/>
          <w:kern w:val="0"/>
          <w14:ligatures w14:val="none"/>
        </w:rPr>
        <w:br/>
        <w:t>Bachelor of Science in Molecular Biology, Summa Cum Laude</w:t>
      </w:r>
    </w:p>
    <w:p w14:paraId="0917782B" w14:textId="77777777" w:rsidR="00103D0B" w:rsidRPr="00103D0B" w:rsidRDefault="00103D0B" w:rsidP="00103D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pict w14:anchorId="2090C469">
          <v:rect id="_x0000_i1027" style="width:0;height:1.5pt" o:hralign="center" o:hrstd="t" o:hr="t" fillcolor="#a0a0a0" stroked="f"/>
        </w:pict>
      </w:r>
    </w:p>
    <w:p w14:paraId="6469C5C9" w14:textId="77777777" w:rsidR="00103D0B" w:rsidRPr="00103D0B" w:rsidRDefault="00103D0B" w:rsidP="00103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BOARD CERTIFICATIONS</w:t>
      </w:r>
    </w:p>
    <w:p w14:paraId="48D5AAC0" w14:textId="77777777" w:rsidR="00103D0B" w:rsidRPr="00103D0B" w:rsidRDefault="00103D0B" w:rsidP="00103D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Board Certified in Internal Medicine (2011)</w:t>
      </w:r>
    </w:p>
    <w:p w14:paraId="480475D2" w14:textId="77777777" w:rsidR="00103D0B" w:rsidRPr="00103D0B" w:rsidRDefault="00103D0B" w:rsidP="00103D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Board Certified in Medical Oncology (2014)</w:t>
      </w:r>
    </w:p>
    <w:p w14:paraId="6E28CC9B" w14:textId="77777777" w:rsidR="00103D0B" w:rsidRPr="00103D0B" w:rsidRDefault="00103D0B" w:rsidP="00103D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CCBB048">
          <v:rect id="_x0000_i1028" style="width:0;height:1.5pt" o:hralign="center" o:hrstd="t" o:hr="t" fillcolor="#a0a0a0" stroked="f"/>
        </w:pict>
      </w:r>
    </w:p>
    <w:p w14:paraId="2E3E55EA" w14:textId="77777777" w:rsidR="00103D0B" w:rsidRPr="00103D0B" w:rsidRDefault="00103D0B" w:rsidP="00103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CERTIFICATIONS &amp; TRAINING</w:t>
      </w:r>
    </w:p>
    <w:p w14:paraId="2872B25F" w14:textId="77777777" w:rsidR="00103D0B" w:rsidRPr="00103D0B" w:rsidRDefault="00103D0B" w:rsidP="00103D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Qualified Person for Pharmacovigilance (QPPV) - EU Certification (2015)</w:t>
      </w:r>
    </w:p>
    <w:p w14:paraId="5331C179" w14:textId="77777777" w:rsidR="00103D0B" w:rsidRPr="00103D0B" w:rsidRDefault="00103D0B" w:rsidP="00103D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200+ hours specialized training: ICH guidelines, FDA/EMA/PMDA regulations, signal detection, risk management planning</w:t>
      </w:r>
    </w:p>
    <w:p w14:paraId="36D82C6E" w14:textId="77777777" w:rsidR="00103D0B" w:rsidRPr="00103D0B" w:rsidRDefault="00103D0B" w:rsidP="00103D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Oracle Argus Safety Database - Expert User, Administrator, and Implementation Specialist</w:t>
      </w:r>
    </w:p>
    <w:p w14:paraId="1E2D39E6" w14:textId="77777777" w:rsidR="00103D0B" w:rsidRPr="00103D0B" w:rsidRDefault="00103D0B" w:rsidP="00103D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Regulatory Affairs Certification (RAC) - In Progress</w:t>
      </w:r>
    </w:p>
    <w:p w14:paraId="48130066" w14:textId="77777777" w:rsidR="00103D0B" w:rsidRPr="00103D0B" w:rsidRDefault="00103D0B" w:rsidP="00103D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pict w14:anchorId="5D36A693">
          <v:rect id="_x0000_i1029" style="width:0;height:1.5pt" o:hralign="center" o:hrstd="t" o:hr="t" fillcolor="#a0a0a0" stroked="f"/>
        </w:pict>
      </w:r>
    </w:p>
    <w:p w14:paraId="1C032CB6" w14:textId="77777777" w:rsidR="00103D0B" w:rsidRPr="00103D0B" w:rsidRDefault="00103D0B" w:rsidP="00103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AFFILIATIONS &amp; SPEAKING</w:t>
      </w:r>
    </w:p>
    <w:p w14:paraId="40D70BEC" w14:textId="77777777" w:rsidR="00103D0B" w:rsidRPr="00103D0B" w:rsidRDefault="00103D0B" w:rsidP="00103D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Drug Information Association (DIA) - Member since 2011, Safety Working Group participant</w:t>
      </w:r>
    </w:p>
    <w:p w14:paraId="14F1335B" w14:textId="77777777" w:rsidR="00103D0B" w:rsidRPr="00103D0B" w:rsidRDefault="00103D0B" w:rsidP="00103D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International Society of Pharmacovigilance (</w:t>
      </w:r>
      <w:proofErr w:type="spellStart"/>
      <w:r w:rsidRPr="00103D0B">
        <w:rPr>
          <w:rFonts w:ascii="Times New Roman" w:eastAsia="Times New Roman" w:hAnsi="Times New Roman" w:cs="Times New Roman"/>
          <w:kern w:val="0"/>
          <w14:ligatures w14:val="none"/>
        </w:rPr>
        <w:t>ISoP</w:t>
      </w:r>
      <w:proofErr w:type="spellEnd"/>
      <w:r w:rsidRPr="00103D0B">
        <w:rPr>
          <w:rFonts w:ascii="Times New Roman" w:eastAsia="Times New Roman" w:hAnsi="Times New Roman" w:cs="Times New Roman"/>
          <w:kern w:val="0"/>
          <w14:ligatures w14:val="none"/>
        </w:rPr>
        <w:t>) - Member since 2012</w:t>
      </w:r>
    </w:p>
    <w:p w14:paraId="044BDCA4" w14:textId="77777777" w:rsidR="00103D0B" w:rsidRPr="00103D0B" w:rsidRDefault="00103D0B" w:rsidP="00103D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 xml:space="preserve">Invited speaker at 8 industry conferences on </w:t>
      </w:r>
      <w:proofErr w:type="gramStart"/>
      <w:r w:rsidRPr="00103D0B">
        <w:rPr>
          <w:rFonts w:ascii="Times New Roman" w:eastAsia="Times New Roman" w:hAnsi="Times New Roman" w:cs="Times New Roman"/>
          <w:kern w:val="0"/>
          <w14:ligatures w14:val="none"/>
        </w:rPr>
        <w:t>oncology</w:t>
      </w:r>
      <w:proofErr w:type="gramEnd"/>
      <w:r w:rsidRPr="00103D0B">
        <w:rPr>
          <w:rFonts w:ascii="Times New Roman" w:eastAsia="Times New Roman" w:hAnsi="Times New Roman" w:cs="Times New Roman"/>
          <w:kern w:val="0"/>
          <w14:ligatures w14:val="none"/>
        </w:rPr>
        <w:t xml:space="preserve"> drug safety and regulatory strategy</w:t>
      </w:r>
    </w:p>
    <w:p w14:paraId="6D5C23FE" w14:textId="77777777" w:rsidR="00103D0B" w:rsidRPr="00103D0B" w:rsidRDefault="00103D0B" w:rsidP="00103D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D0B">
        <w:rPr>
          <w:rFonts w:ascii="Times New Roman" w:eastAsia="Times New Roman" w:hAnsi="Times New Roman" w:cs="Times New Roman"/>
          <w:kern w:val="0"/>
          <w14:ligatures w14:val="none"/>
        </w:rPr>
        <w:t>Published 18+ peer-reviewed articles on pharmacovigilance, oncology safety, and benefit-risk assessment</w:t>
      </w:r>
    </w:p>
    <w:p w14:paraId="44963597" w14:textId="77777777" w:rsidR="00DE5BC5" w:rsidRDefault="00DE5BC5"/>
    <w:sectPr w:rsidR="00DE5BC5" w:rsidSect="00103D0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856F4"/>
    <w:multiLevelType w:val="multilevel"/>
    <w:tmpl w:val="178C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41059"/>
    <w:multiLevelType w:val="multilevel"/>
    <w:tmpl w:val="A4A8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94145"/>
    <w:multiLevelType w:val="multilevel"/>
    <w:tmpl w:val="52B8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B582C"/>
    <w:multiLevelType w:val="multilevel"/>
    <w:tmpl w:val="A906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B53D9"/>
    <w:multiLevelType w:val="multilevel"/>
    <w:tmpl w:val="F3FE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D7794"/>
    <w:multiLevelType w:val="multilevel"/>
    <w:tmpl w:val="93BA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E40F6"/>
    <w:multiLevelType w:val="multilevel"/>
    <w:tmpl w:val="ACD8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761DD"/>
    <w:multiLevelType w:val="multilevel"/>
    <w:tmpl w:val="4E48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228929">
    <w:abstractNumId w:val="7"/>
  </w:num>
  <w:num w:numId="2" w16cid:durableId="1917353309">
    <w:abstractNumId w:val="5"/>
  </w:num>
  <w:num w:numId="3" w16cid:durableId="1325936804">
    <w:abstractNumId w:val="2"/>
  </w:num>
  <w:num w:numId="4" w16cid:durableId="1070007076">
    <w:abstractNumId w:val="6"/>
  </w:num>
  <w:num w:numId="5" w16cid:durableId="2140830733">
    <w:abstractNumId w:val="0"/>
  </w:num>
  <w:num w:numId="6" w16cid:durableId="34893295">
    <w:abstractNumId w:val="3"/>
  </w:num>
  <w:num w:numId="7" w16cid:durableId="318929562">
    <w:abstractNumId w:val="1"/>
  </w:num>
  <w:num w:numId="8" w16cid:durableId="16365944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D0B"/>
    <w:rsid w:val="00103D0B"/>
    <w:rsid w:val="00640472"/>
    <w:rsid w:val="00951A5A"/>
    <w:rsid w:val="00CE313A"/>
    <w:rsid w:val="00DE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0A375"/>
  <w15:chartTrackingRefBased/>
  <w15:docId w15:val="{88777137-1EA2-4269-BFFA-75E33777E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738</Words>
  <Characters>5042</Characters>
  <Application>Microsoft Office Word</Application>
  <DocSecurity>0</DocSecurity>
  <Lines>91</Lines>
  <Paragraphs>59</Paragraphs>
  <ScaleCrop>false</ScaleCrop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2025-11-18T20:23:00Z</dcterms:created>
  <dcterms:modified xsi:type="dcterms:W3CDTF">2025-11-18T20:24:00Z</dcterms:modified>
</cp:coreProperties>
</file>