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CDEB" w14:textId="4F092B5C" w:rsidR="00FA1C27" w:rsidRPr="00FA1C27" w:rsidRDefault="00FA1C27" w:rsidP="00FA1C27">
      <w:pPr>
        <w:jc w:val="center"/>
        <w:rPr>
          <w:sz w:val="36"/>
          <w:szCs w:val="36"/>
        </w:rPr>
      </w:pPr>
      <w:r w:rsidRPr="00FA1C27">
        <w:rPr>
          <w:b/>
          <w:bCs/>
          <w:sz w:val="36"/>
          <w:szCs w:val="36"/>
        </w:rPr>
        <w:t>Confidential Candidate</w:t>
      </w:r>
    </w:p>
    <w:p w14:paraId="5D0BDE6D" w14:textId="2DD15A64" w:rsidR="00FA1C27" w:rsidRPr="00FA1C27" w:rsidRDefault="00FA1C27" w:rsidP="00FA1C27">
      <w:pPr>
        <w:jc w:val="center"/>
      </w:pPr>
      <w:r w:rsidRPr="00FA1C27">
        <w:rPr>
          <w:b/>
          <w:bCs/>
        </w:rPr>
        <w:t>New York, NY</w:t>
      </w:r>
    </w:p>
    <w:p w14:paraId="2B60D8A9" w14:textId="77777777" w:rsidR="00FA1C27" w:rsidRPr="00FA1C27" w:rsidRDefault="00FA1C27" w:rsidP="00FA1C27">
      <w:r w:rsidRPr="00FA1C27">
        <w:rPr>
          <w:b/>
          <w:bCs/>
        </w:rPr>
        <w:t>PROFESSIONAL SUMMARY</w:t>
      </w:r>
    </w:p>
    <w:p w14:paraId="3D6495CC" w14:textId="77777777" w:rsidR="00FA1C27" w:rsidRPr="00FA1C27" w:rsidRDefault="00FA1C27" w:rsidP="00FA1C27">
      <w:pPr>
        <w:numPr>
          <w:ilvl w:val="0"/>
          <w:numId w:val="1"/>
        </w:numPr>
      </w:pPr>
      <w:r w:rsidRPr="00FA1C27">
        <w:t>Strategic oncology clinical development executive with 17+ years driving global clinical strategy and regulatory submissions from Phase I through commercialization</w:t>
      </w:r>
    </w:p>
    <w:p w14:paraId="56D39B1C" w14:textId="77777777" w:rsidR="00FA1C27" w:rsidRPr="00FA1C27" w:rsidRDefault="00FA1C27" w:rsidP="00FA1C27">
      <w:pPr>
        <w:numPr>
          <w:ilvl w:val="0"/>
          <w:numId w:val="1"/>
        </w:numPr>
      </w:pPr>
      <w:r w:rsidRPr="00FA1C27">
        <w:t>Collaborative leader with proven track record managing cross-functional teams of 20+ across multiple geographies, resulting in 3 successful NDA submissions and $2B+ in program value</w:t>
      </w:r>
    </w:p>
    <w:p w14:paraId="0EF25F83" w14:textId="77777777" w:rsidR="00FA1C27" w:rsidRPr="00FA1C27" w:rsidRDefault="00FA1C27" w:rsidP="00FA1C27">
      <w:pPr>
        <w:numPr>
          <w:ilvl w:val="0"/>
          <w:numId w:val="1"/>
        </w:numPr>
      </w:pPr>
      <w:r w:rsidRPr="00FA1C27">
        <w:t>Deep expertise in immuno-oncology, solid tumors, and FDA regulatory strategy with established relationships across key opinion leaders and regulatory bodies</w:t>
      </w:r>
    </w:p>
    <w:p w14:paraId="0346CC02" w14:textId="77777777" w:rsidR="00FA1C27" w:rsidRPr="00FA1C27" w:rsidRDefault="00FA1C27" w:rsidP="00FA1C27">
      <w:pPr>
        <w:numPr>
          <w:ilvl w:val="0"/>
          <w:numId w:val="1"/>
        </w:numPr>
      </w:pPr>
      <w:r w:rsidRPr="00FA1C27">
        <w:t xml:space="preserve">Currently based in </w:t>
      </w:r>
      <w:proofErr w:type="gramStart"/>
      <w:r w:rsidRPr="00FA1C27">
        <w:t>NYC</w:t>
      </w:r>
      <w:proofErr w:type="gramEnd"/>
      <w:r w:rsidRPr="00FA1C27">
        <w:t xml:space="preserve"> Metro area, open to relocation for the right opportunity at $420K+ compensation</w:t>
      </w:r>
    </w:p>
    <w:p w14:paraId="4E0D0AAB" w14:textId="77777777" w:rsidR="00FA1C27" w:rsidRPr="00FA1C27" w:rsidRDefault="00FA1C27" w:rsidP="00FA1C27">
      <w:r w:rsidRPr="00FA1C27">
        <w:rPr>
          <w:b/>
          <w:bCs/>
        </w:rPr>
        <w:t>PROFESSIONAL EXPERIENCE</w:t>
      </w:r>
    </w:p>
    <w:p w14:paraId="751CC7D0" w14:textId="77777777" w:rsidR="00FA1C27" w:rsidRDefault="00FA1C27" w:rsidP="00FA1C27">
      <w:r>
        <w:rPr>
          <w:b/>
          <w:bCs/>
        </w:rPr>
        <w:t>Confidential</w:t>
      </w:r>
      <w:r w:rsidRPr="00FA1C27">
        <w:rPr>
          <w:b/>
          <w:bCs/>
        </w:rPr>
        <w:t xml:space="preserve"> Therapeutics</w:t>
      </w:r>
      <w:r w:rsidRPr="00FA1C27">
        <w:t xml:space="preserve"> Jan 2019 - Present </w:t>
      </w:r>
    </w:p>
    <w:p w14:paraId="655F26D3" w14:textId="625BC18A" w:rsidR="00FA1C27" w:rsidRPr="00FA1C27" w:rsidRDefault="00FA1C27" w:rsidP="00FA1C27">
      <w:r w:rsidRPr="00FA1C27">
        <w:rPr>
          <w:i/>
          <w:iCs/>
        </w:rPr>
        <w:t>Executive Director, Global Clinical Development</w:t>
      </w:r>
    </w:p>
    <w:p w14:paraId="0E61624B" w14:textId="77777777" w:rsidR="00FA1C27" w:rsidRPr="00FA1C27" w:rsidRDefault="00FA1C27" w:rsidP="00FA1C27">
      <w:pPr>
        <w:numPr>
          <w:ilvl w:val="0"/>
          <w:numId w:val="2"/>
        </w:numPr>
      </w:pPr>
      <w:r w:rsidRPr="00FA1C27">
        <w:t>Led comprehensive global clinical strategy development for 4 immuno-oncology programs valued at $1.8B, coordinating with regulatory affairs, biostatistics, and medical affairs to ensure seamless execution from Phase I dose escalation through Phase III pivotal studies, resulting in 2 successful NDA submissions and 1 breakthrough therapy designation within accelerated timelines</w:t>
      </w:r>
    </w:p>
    <w:p w14:paraId="49049177" w14:textId="77777777" w:rsidR="00FA1C27" w:rsidRPr="00FA1C27" w:rsidRDefault="00FA1C27" w:rsidP="00FA1C27">
      <w:pPr>
        <w:numPr>
          <w:ilvl w:val="0"/>
          <w:numId w:val="2"/>
        </w:numPr>
      </w:pPr>
      <w:r w:rsidRPr="00FA1C27">
        <w:t xml:space="preserve">Managed and mentored cross-functional teams of 22 professionals across </w:t>
      </w:r>
      <w:proofErr w:type="gramStart"/>
      <w:r w:rsidRPr="00FA1C27">
        <w:t>US</w:t>
      </w:r>
      <w:proofErr w:type="gramEnd"/>
      <w:r w:rsidRPr="00FA1C27">
        <w:t>, EU, and APAC regions, implementing standardized project management methodologies and communication protocols that delivered 95% of critical milestones on or ahead of schedule while maintaining budget adherence across $35M annual operational spend</w:t>
      </w:r>
    </w:p>
    <w:p w14:paraId="4F4D613D" w14:textId="77777777" w:rsidR="00FA1C27" w:rsidRPr="00FA1C27" w:rsidRDefault="00FA1C27" w:rsidP="00FA1C27">
      <w:pPr>
        <w:numPr>
          <w:ilvl w:val="0"/>
          <w:numId w:val="2"/>
        </w:numPr>
      </w:pPr>
      <w:r w:rsidRPr="00FA1C27">
        <w:t>Established and maintained strategic partnerships with 15+ leading cancer centers including Memorial Sloan Kettering, MD Anderson, and Dana-Farber, developing investigator relationships that accelerated patient enrollment by 40% across Phase II/III studies while ensuring protocol compliance and data quality standards</w:t>
      </w:r>
    </w:p>
    <w:p w14:paraId="66984749" w14:textId="77777777" w:rsidR="00FA1C27" w:rsidRPr="00FA1C27" w:rsidRDefault="00FA1C27" w:rsidP="00FA1C27">
      <w:pPr>
        <w:numPr>
          <w:ilvl w:val="0"/>
          <w:numId w:val="2"/>
        </w:numPr>
      </w:pPr>
      <w:r w:rsidRPr="00FA1C27">
        <w:t>Negotiated complex regulatory pathways and maintained direct relationships with FDA Oncology Center of Excellence leadership, conducting quarterly strategic meetings and securing 3 fast track designations through comprehensive benefit-risk assessments and compelling scientific rationale presentations</w:t>
      </w:r>
    </w:p>
    <w:p w14:paraId="7AF3AB76" w14:textId="77777777" w:rsidR="00FA1C27" w:rsidRPr="00FA1C27" w:rsidRDefault="00FA1C27" w:rsidP="00FA1C27">
      <w:pPr>
        <w:numPr>
          <w:ilvl w:val="0"/>
          <w:numId w:val="2"/>
        </w:numPr>
      </w:pPr>
      <w:r w:rsidRPr="00FA1C27">
        <w:t>Optimized clinical trial design methodologies and execution strategies across therapeutic programs, implementing adaptive trial designs and innovative endpoints that reduced average study timelines by 6 months and saved $12M in operational costs while maintaining statistical rigor</w:t>
      </w:r>
    </w:p>
    <w:p w14:paraId="7105B5F1" w14:textId="77777777" w:rsidR="00FA1C27" w:rsidRPr="00FA1C27" w:rsidRDefault="00FA1C27" w:rsidP="00FA1C27">
      <w:pPr>
        <w:numPr>
          <w:ilvl w:val="0"/>
          <w:numId w:val="2"/>
        </w:numPr>
      </w:pPr>
      <w:r w:rsidRPr="00FA1C27">
        <w:lastRenderedPageBreak/>
        <w:t xml:space="preserve">Built and mentored high-performing medical affairs team of 8 professionals, developing individualized career development plans and implementing cross-functional training programs that achieved 100% retention rate over </w:t>
      </w:r>
      <w:proofErr w:type="gramStart"/>
      <w:r w:rsidRPr="00FA1C27">
        <w:t>3-</w:t>
      </w:r>
      <w:proofErr w:type="gramEnd"/>
      <w:r w:rsidRPr="00FA1C27">
        <w:t>year period while expanding team capabilities across multiple therapeutic areas</w:t>
      </w:r>
    </w:p>
    <w:p w14:paraId="0321C3EF" w14:textId="77777777" w:rsidR="00FA1C27" w:rsidRPr="00FA1C27" w:rsidRDefault="00FA1C27" w:rsidP="00FA1C27">
      <w:pPr>
        <w:numPr>
          <w:ilvl w:val="0"/>
          <w:numId w:val="2"/>
        </w:numPr>
      </w:pPr>
      <w:r w:rsidRPr="00FA1C27">
        <w:t>Authored 25+ peer-reviewed publications in high-impact oncology journals and delivered strategic presentations at major international conferences including ASCO, ESMO, and AACR, positioning company programs as thought leadership platforms</w:t>
      </w:r>
    </w:p>
    <w:p w14:paraId="41665229" w14:textId="77777777" w:rsidR="00FA1C27" w:rsidRPr="00FA1C27" w:rsidRDefault="00FA1C27" w:rsidP="00FA1C27">
      <w:pPr>
        <w:numPr>
          <w:ilvl w:val="0"/>
          <w:numId w:val="2"/>
        </w:numPr>
      </w:pPr>
      <w:r w:rsidRPr="00FA1C27">
        <w:t>Directed comprehensive Phase III study execution including protocol development, site selection, and regulatory submission preparation, coordinating with global CRO partners and internal teams to ensure seamless study startup and patient recruitment across 85+ investigational sites</w:t>
      </w:r>
    </w:p>
    <w:p w14:paraId="2FCB409D" w14:textId="46D9C363" w:rsidR="00FA1C27" w:rsidRDefault="00FA1C27" w:rsidP="00FA1C27">
      <w:r>
        <w:rPr>
          <w:b/>
          <w:bCs/>
        </w:rPr>
        <w:t>Confidential</w:t>
      </w:r>
      <w:r w:rsidRPr="00FA1C27">
        <w:rPr>
          <w:b/>
          <w:bCs/>
        </w:rPr>
        <w:t xml:space="preserve"> Biosciences</w:t>
      </w:r>
      <w:r w:rsidRPr="00FA1C27">
        <w:t xml:space="preserve"> Mar 2015 - Dec 2018 </w:t>
      </w:r>
    </w:p>
    <w:p w14:paraId="2F27A954" w14:textId="77777777" w:rsidR="00FA1C27" w:rsidRDefault="00FA1C27" w:rsidP="00FA1C27">
      <w:r w:rsidRPr="00FA1C27">
        <w:rPr>
          <w:i/>
          <w:iCs/>
        </w:rPr>
        <w:t>Senior Director, Clinical Development</w:t>
      </w:r>
      <w:r w:rsidRPr="00FA1C27">
        <w:t xml:space="preserve"> Mar 2017 - Dec 2018 </w:t>
      </w:r>
    </w:p>
    <w:p w14:paraId="0D6ABA6E" w14:textId="237A8AB3" w:rsidR="00FA1C27" w:rsidRPr="00FA1C27" w:rsidRDefault="00FA1C27" w:rsidP="00FA1C27">
      <w:r w:rsidRPr="00FA1C27">
        <w:rPr>
          <w:i/>
          <w:iCs/>
        </w:rPr>
        <w:t>Director, Clinical Development</w:t>
      </w:r>
      <w:r w:rsidRPr="00FA1C27">
        <w:t xml:space="preserve"> Mar 2015 - Feb 2017</w:t>
      </w:r>
    </w:p>
    <w:p w14:paraId="527EB5AC" w14:textId="77777777" w:rsidR="00FA1C27" w:rsidRPr="00FA1C27" w:rsidRDefault="00FA1C27" w:rsidP="00FA1C27">
      <w:pPr>
        <w:numPr>
          <w:ilvl w:val="0"/>
          <w:numId w:val="3"/>
        </w:numPr>
      </w:pPr>
      <w:r w:rsidRPr="00FA1C27">
        <w:t>Spearheaded end-to-end clinical development strategy for rare oncology program encompassing target identification through regulatory approval, developing comprehensive clinical development plans and leading cross-functional teams through successful NDA filing and FDA approval process, achieving approval 4 months ahead of projected timeline</w:t>
      </w:r>
    </w:p>
    <w:p w14:paraId="620C6BA9" w14:textId="77777777" w:rsidR="00FA1C27" w:rsidRPr="00FA1C27" w:rsidRDefault="00FA1C27" w:rsidP="00FA1C27">
      <w:pPr>
        <w:numPr>
          <w:ilvl w:val="0"/>
          <w:numId w:val="3"/>
        </w:numPr>
      </w:pPr>
      <w:r w:rsidRPr="00FA1C27">
        <w:t>Designed and executed 3 pivotal Phase III studies in solid tumors, managing comprehensive study operations including protocol development, site selection, vendor management, and data analysis while overseeing budgets exceeding $45M annually and ensuring adherence to ICH-GCP guidelines and regulatory requirements</w:t>
      </w:r>
    </w:p>
    <w:p w14:paraId="118B2CFB" w14:textId="77777777" w:rsidR="00FA1C27" w:rsidRPr="00FA1C27" w:rsidRDefault="00FA1C27" w:rsidP="00FA1C27">
      <w:pPr>
        <w:numPr>
          <w:ilvl w:val="0"/>
          <w:numId w:val="3"/>
        </w:numPr>
      </w:pPr>
      <w:r w:rsidRPr="00FA1C27">
        <w:t>Collaborated intensively with regulatory affairs leadership to develop sophisticated FDA meeting strategies and comprehensive briefing packages, achieving positive outcomes in 8/8 Type B and Type C meetings while securing critical regulatory guidance for pivotal study designs and endpoints</w:t>
      </w:r>
    </w:p>
    <w:p w14:paraId="234952F5" w14:textId="77777777" w:rsidR="00FA1C27" w:rsidRPr="00FA1C27" w:rsidRDefault="00FA1C27" w:rsidP="00FA1C27">
      <w:pPr>
        <w:numPr>
          <w:ilvl w:val="0"/>
          <w:numId w:val="3"/>
        </w:numPr>
      </w:pPr>
      <w:r w:rsidRPr="00FA1C27">
        <w:t>Led comprehensive cross-functional launch readiness activities spanning 18-month timeline, coordinating closely with commercial, medical affairs, and market access teams to develop market access strategies, pricing models, and post-marketing surveillance plans</w:t>
      </w:r>
    </w:p>
    <w:p w14:paraId="4F003634" w14:textId="77777777" w:rsidR="00FA1C27" w:rsidRPr="00FA1C27" w:rsidRDefault="00FA1C27" w:rsidP="00FA1C27">
      <w:pPr>
        <w:numPr>
          <w:ilvl w:val="0"/>
          <w:numId w:val="3"/>
        </w:numPr>
      </w:pPr>
      <w:r w:rsidRPr="00FA1C27">
        <w:t>Implemented innovative adaptive trial designs incorporating interim analyses and seamless Phase II/III transitions, reducing overall patient exposure time by 35% while maintaining statistical power and enabling accelerated regulatory timelines through enhanced operational efficiency</w:t>
      </w:r>
    </w:p>
    <w:p w14:paraId="562C4161" w14:textId="77777777" w:rsidR="00FA1C27" w:rsidRPr="00FA1C27" w:rsidRDefault="00FA1C27" w:rsidP="00FA1C27">
      <w:pPr>
        <w:numPr>
          <w:ilvl w:val="0"/>
          <w:numId w:val="3"/>
        </w:numPr>
      </w:pPr>
      <w:r w:rsidRPr="00FA1C27">
        <w:t>Managed complex vendor relationships and comprehensive CRO oversight for 12 active studies across 6 therapeutic areas, implementing vendor scorecards, performance metrics, and risk mitigation strategies while ensuring consistent quality standards and timeline adherence across global operations</w:t>
      </w:r>
    </w:p>
    <w:p w14:paraId="7AD513EE" w14:textId="77777777" w:rsidR="00FA1C27" w:rsidRPr="00FA1C27" w:rsidRDefault="00FA1C27" w:rsidP="00FA1C27">
      <w:pPr>
        <w:numPr>
          <w:ilvl w:val="0"/>
          <w:numId w:val="3"/>
        </w:numPr>
      </w:pPr>
      <w:r w:rsidRPr="00FA1C27">
        <w:lastRenderedPageBreak/>
        <w:t>Developed and executed comprehensive investigator engagement strategies including advisory boards, investigator meetings, and publication planning, building strong KOL relationships that enhanced protocol design and facilitated smooth study execution across competitive enrollment landscape</w:t>
      </w:r>
    </w:p>
    <w:p w14:paraId="1DA4A3F5" w14:textId="388B5E3A" w:rsidR="00FA1C27" w:rsidRDefault="00FA1C27" w:rsidP="00FA1C27">
      <w:r>
        <w:rPr>
          <w:b/>
          <w:bCs/>
        </w:rPr>
        <w:t>Confidential</w:t>
      </w:r>
      <w:r w:rsidRPr="00FA1C27">
        <w:rPr>
          <w:b/>
          <w:bCs/>
        </w:rPr>
        <w:t xml:space="preserve"> Oncology</w:t>
      </w:r>
      <w:r w:rsidRPr="00FA1C27">
        <w:t xml:space="preserve"> Jun 2010 - Feb 2015 </w:t>
      </w:r>
    </w:p>
    <w:p w14:paraId="460A0813" w14:textId="77777777" w:rsidR="00FA1C27" w:rsidRDefault="00FA1C27" w:rsidP="00FA1C27">
      <w:r w:rsidRPr="00FA1C27">
        <w:rPr>
          <w:i/>
          <w:iCs/>
        </w:rPr>
        <w:t>Associate Director, Clinical Operations</w:t>
      </w:r>
      <w:r w:rsidRPr="00FA1C27">
        <w:t xml:space="preserve"> Jan 2013 - Feb 2015 </w:t>
      </w:r>
    </w:p>
    <w:p w14:paraId="5B6A8EAA" w14:textId="5032C059" w:rsidR="00FA1C27" w:rsidRPr="00FA1C27" w:rsidRDefault="00FA1C27" w:rsidP="00FA1C27">
      <w:r w:rsidRPr="00FA1C27">
        <w:rPr>
          <w:i/>
          <w:iCs/>
        </w:rPr>
        <w:t>Senior Clinical Project Manager</w:t>
      </w:r>
      <w:r w:rsidRPr="00FA1C27">
        <w:t xml:space="preserve"> Jun 2010 - Dec 2012</w:t>
      </w:r>
    </w:p>
    <w:p w14:paraId="21EFFDAE" w14:textId="77777777" w:rsidR="00FA1C27" w:rsidRPr="00FA1C27" w:rsidRDefault="00FA1C27" w:rsidP="00FA1C27">
      <w:pPr>
        <w:numPr>
          <w:ilvl w:val="0"/>
          <w:numId w:val="4"/>
        </w:numPr>
      </w:pPr>
      <w:r w:rsidRPr="00FA1C27">
        <w:t>Managed comprehensive end-to-end clinical operations for 8 oncology programs from Phase I dose escalation through Phase III registration studies, coordinating complex multi-site activities including protocol development, regulatory submissions, site management, and data oversight while ensuring adherence to timeline and budget constraints</w:t>
      </w:r>
    </w:p>
    <w:p w14:paraId="0EE3C199" w14:textId="77777777" w:rsidR="00FA1C27" w:rsidRPr="00FA1C27" w:rsidRDefault="00FA1C27" w:rsidP="00FA1C27">
      <w:pPr>
        <w:numPr>
          <w:ilvl w:val="0"/>
          <w:numId w:val="4"/>
        </w:numPr>
      </w:pPr>
      <w:r w:rsidRPr="00FA1C27">
        <w:t>Implemented comprehensive operational excellence initiatives including risk-based monitoring strategies, centralized statistical monitoring, and enhanced data management protocols, improving overall data quality metrics by 45% and reducing query rates while maintaining patient safety standards and regulatory compliance</w:t>
      </w:r>
    </w:p>
    <w:p w14:paraId="5286C5B3" w14:textId="77777777" w:rsidR="00FA1C27" w:rsidRPr="00FA1C27" w:rsidRDefault="00FA1C27" w:rsidP="00FA1C27">
      <w:pPr>
        <w:numPr>
          <w:ilvl w:val="0"/>
          <w:numId w:val="4"/>
        </w:numPr>
      </w:pPr>
      <w:r w:rsidRPr="00FA1C27">
        <w:t xml:space="preserve">Led comprehensive site selection and management activities across 150+ investigational sites in </w:t>
      </w:r>
      <w:proofErr w:type="gramStart"/>
      <w:r w:rsidRPr="00FA1C27">
        <w:t>US</w:t>
      </w:r>
      <w:proofErr w:type="gramEnd"/>
      <w:r w:rsidRPr="00FA1C27">
        <w:t xml:space="preserve"> and EU, developing site qualification criteria, conducting site feasibility assessments, and implementing site performance improvement programs that enhanced enrollment rates and protocol compliance</w:t>
      </w:r>
    </w:p>
    <w:p w14:paraId="175B49EF" w14:textId="77777777" w:rsidR="00FA1C27" w:rsidRPr="00FA1C27" w:rsidRDefault="00FA1C27" w:rsidP="00FA1C27">
      <w:pPr>
        <w:numPr>
          <w:ilvl w:val="0"/>
          <w:numId w:val="4"/>
        </w:numPr>
      </w:pPr>
      <w:r w:rsidRPr="00FA1C27">
        <w:t>Coordinated complex regulatory submissions and comprehensive responses to FDA/EMA inquiries including clinical study reports, safety updates, and meeting briefing packages, maintaining 100% on-time delivery record while ensuring regulatory compliance and scientific accuracy across all submissions</w:t>
      </w:r>
    </w:p>
    <w:p w14:paraId="24300A80" w14:textId="77777777" w:rsidR="00FA1C27" w:rsidRPr="00FA1C27" w:rsidRDefault="00FA1C27" w:rsidP="00FA1C27">
      <w:r w:rsidRPr="00FA1C27">
        <w:rPr>
          <w:b/>
          <w:bCs/>
        </w:rPr>
        <w:t>EDUCATION</w:t>
      </w:r>
    </w:p>
    <w:p w14:paraId="620F9E93" w14:textId="77777777" w:rsidR="00FA1C27" w:rsidRPr="00FA1C27" w:rsidRDefault="00FA1C27" w:rsidP="00FA1C27">
      <w:r w:rsidRPr="00FA1C27">
        <w:rPr>
          <w:b/>
          <w:bCs/>
        </w:rPr>
        <w:t>Harvard T.H. Chan School of Public Health</w:t>
      </w:r>
      <w:r w:rsidRPr="00FA1C27">
        <w:t xml:space="preserve"> 2009 </w:t>
      </w:r>
      <w:r w:rsidRPr="00FA1C27">
        <w:rPr>
          <w:i/>
          <w:iCs/>
        </w:rPr>
        <w:t>Master of Public Health, Epidemiology</w:t>
      </w:r>
    </w:p>
    <w:p w14:paraId="0C435196" w14:textId="77777777" w:rsidR="00FA1C27" w:rsidRPr="00FA1C27" w:rsidRDefault="00FA1C27" w:rsidP="00FA1C27">
      <w:r w:rsidRPr="00FA1C27">
        <w:rPr>
          <w:b/>
          <w:bCs/>
        </w:rPr>
        <w:t>Johns Hopkins University School of Medicine</w:t>
      </w:r>
      <w:r w:rsidRPr="00FA1C27">
        <w:t xml:space="preserve"> 2007 </w:t>
      </w:r>
      <w:r w:rsidRPr="00FA1C27">
        <w:rPr>
          <w:i/>
          <w:iCs/>
        </w:rPr>
        <w:t>Doctor of Medicine (MD)</w:t>
      </w:r>
    </w:p>
    <w:p w14:paraId="0D9D955A" w14:textId="77777777" w:rsidR="00FA1C27" w:rsidRPr="00FA1C27" w:rsidRDefault="00FA1C27" w:rsidP="00FA1C27">
      <w:r w:rsidRPr="00FA1C27">
        <w:rPr>
          <w:b/>
          <w:bCs/>
        </w:rPr>
        <w:t>Duke University</w:t>
      </w:r>
      <w:r w:rsidRPr="00FA1C27">
        <w:t xml:space="preserve"> 2003 </w:t>
      </w:r>
      <w:r w:rsidRPr="00FA1C27">
        <w:rPr>
          <w:i/>
          <w:iCs/>
        </w:rPr>
        <w:t>Bachelor of Science in Biology, Magna Cum Laude</w:t>
      </w:r>
    </w:p>
    <w:p w14:paraId="71775776" w14:textId="77777777" w:rsidR="00FA1C27" w:rsidRPr="00FA1C27" w:rsidRDefault="00FA1C27" w:rsidP="00FA1C27">
      <w:r w:rsidRPr="00FA1C27">
        <w:rPr>
          <w:b/>
          <w:bCs/>
        </w:rPr>
        <w:t>AWARDS AND ACTIVITIES</w:t>
      </w:r>
      <w:r w:rsidRPr="00FA1C27">
        <w:t xml:space="preserve"> 2023 Meridian Therapeutics Excellence in Leadership Award 2021 Speaker, American Society of Clinical Oncology (ASCO) Annual Meeting 2019 FDA Oncology Advisory Committee Guest Expert Panel Member</w:t>
      </w:r>
    </w:p>
    <w:p w14:paraId="56681507" w14:textId="77777777" w:rsidR="003E5CA4" w:rsidRDefault="003E5CA4"/>
    <w:sectPr w:rsidR="003E5CA4" w:rsidSect="00FA1C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0C8D"/>
    <w:multiLevelType w:val="multilevel"/>
    <w:tmpl w:val="843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46059"/>
    <w:multiLevelType w:val="multilevel"/>
    <w:tmpl w:val="1A5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56498"/>
    <w:multiLevelType w:val="multilevel"/>
    <w:tmpl w:val="C9B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C20E5"/>
    <w:multiLevelType w:val="multilevel"/>
    <w:tmpl w:val="561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16041">
    <w:abstractNumId w:val="3"/>
  </w:num>
  <w:num w:numId="2" w16cid:durableId="1414472609">
    <w:abstractNumId w:val="2"/>
  </w:num>
  <w:num w:numId="3" w16cid:durableId="1760246415">
    <w:abstractNumId w:val="0"/>
  </w:num>
  <w:num w:numId="4" w16cid:durableId="597182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C27"/>
    <w:rsid w:val="001D4820"/>
    <w:rsid w:val="003E5CA4"/>
    <w:rsid w:val="00842024"/>
    <w:rsid w:val="00CA2E6D"/>
    <w:rsid w:val="00FA1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3B85E"/>
  <w15:chartTrackingRefBased/>
  <w15:docId w15:val="{8338BE77-1A60-4291-99B4-9980563E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C27"/>
    <w:rPr>
      <w:rFonts w:eastAsiaTheme="majorEastAsia" w:cstheme="majorBidi"/>
      <w:color w:val="272727" w:themeColor="text1" w:themeTint="D8"/>
    </w:rPr>
  </w:style>
  <w:style w:type="paragraph" w:styleId="Title">
    <w:name w:val="Title"/>
    <w:basedOn w:val="Normal"/>
    <w:next w:val="Normal"/>
    <w:link w:val="TitleChar"/>
    <w:uiPriority w:val="10"/>
    <w:qFormat/>
    <w:rsid w:val="00FA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C27"/>
    <w:pPr>
      <w:spacing w:before="160"/>
      <w:jc w:val="center"/>
    </w:pPr>
    <w:rPr>
      <w:i/>
      <w:iCs/>
      <w:color w:val="404040" w:themeColor="text1" w:themeTint="BF"/>
    </w:rPr>
  </w:style>
  <w:style w:type="character" w:customStyle="1" w:styleId="QuoteChar">
    <w:name w:val="Quote Char"/>
    <w:basedOn w:val="DefaultParagraphFont"/>
    <w:link w:val="Quote"/>
    <w:uiPriority w:val="29"/>
    <w:rsid w:val="00FA1C27"/>
    <w:rPr>
      <w:i/>
      <w:iCs/>
      <w:color w:val="404040" w:themeColor="text1" w:themeTint="BF"/>
    </w:rPr>
  </w:style>
  <w:style w:type="paragraph" w:styleId="ListParagraph">
    <w:name w:val="List Paragraph"/>
    <w:basedOn w:val="Normal"/>
    <w:uiPriority w:val="34"/>
    <w:qFormat/>
    <w:rsid w:val="00FA1C27"/>
    <w:pPr>
      <w:ind w:left="720"/>
      <w:contextualSpacing/>
    </w:pPr>
  </w:style>
  <w:style w:type="character" w:styleId="IntenseEmphasis">
    <w:name w:val="Intense Emphasis"/>
    <w:basedOn w:val="DefaultParagraphFont"/>
    <w:uiPriority w:val="21"/>
    <w:qFormat/>
    <w:rsid w:val="00FA1C27"/>
    <w:rPr>
      <w:i/>
      <w:iCs/>
      <w:color w:val="0F4761" w:themeColor="accent1" w:themeShade="BF"/>
    </w:rPr>
  </w:style>
  <w:style w:type="paragraph" w:styleId="IntenseQuote">
    <w:name w:val="Intense Quote"/>
    <w:basedOn w:val="Normal"/>
    <w:next w:val="Normal"/>
    <w:link w:val="IntenseQuoteChar"/>
    <w:uiPriority w:val="30"/>
    <w:qFormat/>
    <w:rsid w:val="00FA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C27"/>
    <w:rPr>
      <w:i/>
      <w:iCs/>
      <w:color w:val="0F4761" w:themeColor="accent1" w:themeShade="BF"/>
    </w:rPr>
  </w:style>
  <w:style w:type="character" w:styleId="IntenseReference">
    <w:name w:val="Intense Reference"/>
    <w:basedOn w:val="DefaultParagraphFont"/>
    <w:uiPriority w:val="32"/>
    <w:qFormat/>
    <w:rsid w:val="00FA1C27"/>
    <w:rPr>
      <w:b/>
      <w:bCs/>
      <w:smallCaps/>
      <w:color w:val="0F4761" w:themeColor="accent1" w:themeShade="BF"/>
      <w:spacing w:val="5"/>
    </w:rPr>
  </w:style>
  <w:style w:type="character" w:styleId="Hyperlink">
    <w:name w:val="Hyperlink"/>
    <w:basedOn w:val="DefaultParagraphFont"/>
    <w:uiPriority w:val="99"/>
    <w:unhideWhenUsed/>
    <w:rsid w:val="00FA1C27"/>
    <w:rPr>
      <w:color w:val="467886" w:themeColor="hyperlink"/>
      <w:u w:val="single"/>
    </w:rPr>
  </w:style>
  <w:style w:type="character" w:styleId="UnresolvedMention">
    <w:name w:val="Unresolved Mention"/>
    <w:basedOn w:val="DefaultParagraphFont"/>
    <w:uiPriority w:val="99"/>
    <w:semiHidden/>
    <w:unhideWhenUsed/>
    <w:rsid w:val="00FA1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857564">
      <w:bodyDiv w:val="1"/>
      <w:marLeft w:val="0"/>
      <w:marRight w:val="0"/>
      <w:marTop w:val="0"/>
      <w:marBottom w:val="0"/>
      <w:divBdr>
        <w:top w:val="none" w:sz="0" w:space="0" w:color="auto"/>
        <w:left w:val="none" w:sz="0" w:space="0" w:color="auto"/>
        <w:bottom w:val="none" w:sz="0" w:space="0" w:color="auto"/>
        <w:right w:val="none" w:sz="0" w:space="0" w:color="auto"/>
      </w:divBdr>
    </w:div>
    <w:div w:id="212712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911</Words>
  <Characters>6399</Characters>
  <Application>Microsoft Office Word</Application>
  <DocSecurity>0</DocSecurity>
  <Lines>98</Lines>
  <Paragraphs>43</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2025-08-07T15:53:00Z</dcterms:created>
  <dcterms:modified xsi:type="dcterms:W3CDTF">2025-08-07T15:56:00Z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3fa2ec44-dc85-4859-9f58-1ad751940619</vt:lpwstr>
  </property>
</Properties>
</file>