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7D7D" w14:textId="1C3CD5BD" w:rsidR="00A07EE3" w:rsidRPr="00EC4966" w:rsidRDefault="00A07EE3" w:rsidP="00A07E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Candidate</w:t>
      </w:r>
    </w:p>
    <w:p w14:paraId="3B240AC3" w14:textId="6D524829" w:rsidR="00A07EE3" w:rsidRPr="00EC4966" w:rsidRDefault="00A07EE3" w:rsidP="00A07EE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Boston, MA</w:t>
      </w:r>
    </w:p>
    <w:p w14:paraId="70BDB952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397B80DE" w14:textId="77777777" w:rsidR="00A07EE3" w:rsidRPr="00EC4966" w:rsidRDefault="00A07EE3" w:rsidP="00A07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Collaborative and results-driven Medical Affairs executive with 12+ years of hematology/oncology expertise and proven track record in CAR-T therapy commercialization</w:t>
      </w:r>
    </w:p>
    <w:p w14:paraId="520B84B6" w14:textId="77777777" w:rsidR="00A07EE3" w:rsidRPr="00EC4966" w:rsidRDefault="00A07EE3" w:rsidP="00A07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Strategic leader in evidence generation, KOL engagement, and cross-functional team management with experience managing $3M+ medical affairs budgets</w:t>
      </w:r>
    </w:p>
    <w:p w14:paraId="1EEF1F93" w14:textId="77777777" w:rsidR="00A07EE3" w:rsidRPr="00EC4966" w:rsidRDefault="00A07EE3" w:rsidP="00A07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PhD in Immunology with deep expertise in cell therapy lifecycle management and regulatory strategy across multiple therapeutic areas</w:t>
      </w:r>
    </w:p>
    <w:p w14:paraId="569AFBA1" w14:textId="77777777" w:rsidR="00A07EE3" w:rsidRPr="00EC4966" w:rsidRDefault="00A07EE3" w:rsidP="00A07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Boston Area-based professional seeking $320K compensation range</w:t>
      </w:r>
    </w:p>
    <w:p w14:paraId="12B4364B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38CBE2AD" w14:textId="4F782C89" w:rsidR="00A07EE3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Jan 2022 - Present </w:t>
      </w:r>
    </w:p>
    <w:p w14:paraId="269396D1" w14:textId="2A707F2E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Executive Director, Medical Affairs</w:t>
      </w:r>
    </w:p>
    <w:p w14:paraId="070D92EA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Led comprehensive Medical Affairs strategy for two successful CAR-T therapy launches generating $400M+ in combined revenue, overseeing all aspects from pre-launch planning through post-market surveillance and lifecycle management activities</w:t>
      </w:r>
    </w:p>
    <w:p w14:paraId="2EC9DD52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Developed and executed integrated evidence generation plans encompassing real-world evidence studies, investigator-sponsored trials, and registry programs, resulting in 15+ peer-reviewed publications and 25+ congress presentations that established clinical differentiation</w:t>
      </w:r>
    </w:p>
    <w:p w14:paraId="113C631E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Built and managed strategic cross-functional relationships with 20+ top-tier heme/</w:t>
      </w:r>
      <w:proofErr w:type="spellStart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>onc</w:t>
      </w:r>
      <w:proofErr w:type="spellEnd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KOLs across major cancer centers including Dana-Farber and MD Anderson, facilitating advisory boards, clinical collaborations, and thought leadership development initiatives</w:t>
      </w:r>
    </w:p>
    <w:p w14:paraId="54B31E95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Established comprehensive medical affairs infrastructure from ground up, including budget management protocols, compliance frameworks, publication strategies, and medical information response systems to support commercial operations</w:t>
      </w:r>
    </w:p>
    <w:p w14:paraId="76A92C2B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Directed complex launch readiness activities for lead CAR-T asset including medical education program development, competitive positioning, and payer engagement support, achieving 85% market penetration within first year post-launch</w:t>
      </w:r>
    </w:p>
    <w:p w14:paraId="531058FE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Collaborated extensively with regulatory team on FDA interactions including Type C meetings, REMS program development, and labeling negotiations, resulting in accelerated approval pathway designation and optimized product labeling</w:t>
      </w:r>
    </w:p>
    <w:p w14:paraId="3532ED5A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Managed $3.2M annual medical affairs budget across multiple therapeutic programs with 98% adherence to allocated resources while optimizing ROI through strategic vendor partnerships and internal capability building</w:t>
      </w:r>
    </w:p>
    <w:p w14:paraId="7DC870CE" w14:textId="77777777" w:rsidR="00A07EE3" w:rsidRPr="00EC4966" w:rsidRDefault="00A07EE3" w:rsidP="00A07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Created and implemented comprehensive KOL advisory board program generating critical clinical insights for pipeline development, encompassing therapeutic area strategy, clinical trial design input, and competitive intelligence gathering</w:t>
      </w:r>
    </w:p>
    <w:p w14:paraId="2E02810B" w14:textId="624038C8" w:rsidR="00A07EE3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Pharmaceuticals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Mar 2018 - Dec 2021 </w:t>
      </w:r>
    </w:p>
    <w:p w14:paraId="4EE10B04" w14:textId="77777777" w:rsidR="00A07EE3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Medical Affairs - Oncology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Oct 2020 - Dec 2021 </w:t>
      </w:r>
    </w:p>
    <w:p w14:paraId="0D9C8A3F" w14:textId="311D5F62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Director, Medical Affairs - Hematology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Mar 2018 - Sep 2020</w:t>
      </w:r>
    </w:p>
    <w:p w14:paraId="49704CA8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Developed comprehensive medical strategy for hematology portfolio including novel immunotherapy and targeted therapy assets, encompassing clinical development support, regulatory strategy, and commercial medical planning across multiple indications</w:t>
      </w:r>
    </w:p>
    <w:p w14:paraId="7439A497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Led multi-functional launch team for breakthrough therapy designation asset coordinating medical affairs, clinical, regulatory, and commercial activities, resulting in successful market entry and $200M peak sales achievement within 18 months</w:t>
      </w:r>
    </w:p>
    <w:p w14:paraId="626C33B5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Established strategic relationships with 15+ key hematology centers and coordinated investigator-sponsored trial network supporting clinical evidence generation, including protocol development, site selection, and ongoing medical monitoring activities</w:t>
      </w:r>
    </w:p>
    <w:p w14:paraId="6C089486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Managed comprehensive publication strategy encompassing manuscript development, congress abstract submissions, and medical communications, resulting in 8+ high-impact journal publications including NEJM and JCO that enhanced clinical credibility</w:t>
      </w:r>
    </w:p>
    <w:p w14:paraId="2036B67E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Created and implemented medical education programs for 200+ healthcare providers across academic and community settings, including live symposiums, webinar series, and peer-to-peer educational initiatives focused on clinical best practices</w:t>
      </w:r>
    </w:p>
    <w:p w14:paraId="6E03C322" w14:textId="77777777" w:rsidR="00A07EE3" w:rsidRPr="00EC4966" w:rsidRDefault="00A07EE3" w:rsidP="00A07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Developed sophisticated competitive intelligence framework providing strategic insights for business development </w:t>
      </w:r>
      <w:proofErr w:type="gramStart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>team</w:t>
      </w:r>
      <w:proofErr w:type="gramEnd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>, including competitor product profiling, clinical trial monitoring, and market access strategy analysis to inform portfolio decisions</w:t>
      </w:r>
    </w:p>
    <w:p w14:paraId="64D8D89C" w14:textId="77777777" w:rsidR="00A07EE3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Jun 2013 - Feb 2018 </w:t>
      </w:r>
    </w:p>
    <w:p w14:paraId="45AD7C9D" w14:textId="77777777" w:rsidR="00A07EE3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Affairs Manager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Jun 2015 - Feb 2018 </w:t>
      </w:r>
    </w:p>
    <w:p w14:paraId="2161D482" w14:textId="6DFAB2E2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Medical Science Liaison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Jun 2013 - May 2015</w:t>
      </w:r>
    </w:p>
    <w:p w14:paraId="41223B18" w14:textId="77777777" w:rsidR="00A07EE3" w:rsidRPr="00EC4966" w:rsidRDefault="00A07EE3" w:rsidP="00A07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Provided comprehensive medical support for early-stage oncology assets through Phase I/II clinical development including protocol review, investigator engagement, and medical monitoring activities to ensure scientific rigor and regulatory compliance</w:t>
      </w:r>
    </w:p>
    <w:p w14:paraId="5941E694" w14:textId="77777777" w:rsidR="00A07EE3" w:rsidRPr="00EC4966" w:rsidRDefault="00A07EE3" w:rsidP="00A07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Built and maintained scientific relationships with investigators at 10+ clinical trial sites, facilitating enrollment optimization, protocol amendments, and adverse event management while ensuring adherence to GCP standards and regulatory requirements</w:t>
      </w:r>
    </w:p>
    <w:p w14:paraId="503793F5" w14:textId="77777777" w:rsidR="00A07EE3" w:rsidRPr="00EC4966" w:rsidRDefault="00A07EE3" w:rsidP="00A07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Developed extensive medical communications including slide decks, FAQ documents, training materials, and clinical summaries to support internal stakeholders, investigators, and healthcare providers with accurate, up-to-date scientific information</w:t>
      </w:r>
    </w:p>
    <w:p w14:paraId="7F33EFD2" w14:textId="77777777" w:rsidR="00A07EE3" w:rsidRPr="00EC4966" w:rsidRDefault="00A07EE3" w:rsidP="00A07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Supported regulatory submissions including IND applications, protocol amendments, and safety updates through medical writing, data analysis, and cross-functional collaboration with clinical and regulatory teams to ensure timely approvals</w:t>
      </w:r>
    </w:p>
    <w:p w14:paraId="068458FB" w14:textId="77777777" w:rsidR="00A07EE3" w:rsidRPr="00EC4966" w:rsidRDefault="00A07EE3" w:rsidP="00A07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Conducted regular scientific exchange activities with 50+ healthcare providers quarterly, delivering clinical updates, gathering market insights, and providing educational support on emerging oncology therapies and treatment paradigms</w:t>
      </w:r>
    </w:p>
    <w:p w14:paraId="1E565B3E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71F72CFE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, 2011 </w:t>
      </w: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PhD in Immunology</w:t>
      </w:r>
    </w:p>
    <w:p w14:paraId="3285F373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Boston University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, 2007 </w:t>
      </w:r>
      <w:r w:rsidRPr="00EC49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BS in Biochemistry, Magna Cum Laude</w:t>
      </w:r>
    </w:p>
    <w:p w14:paraId="57D96143" w14:textId="77777777" w:rsidR="00A07EE3" w:rsidRPr="00EC4966" w:rsidRDefault="00A07EE3" w:rsidP="00A07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2023 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in Bio Leadership Award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2022 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Excellence in Medical Affairs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>VeloCell</w:t>
      </w:r>
      <w:proofErr w:type="spellEnd"/>
      <w:r w:rsidRPr="00EC4966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2021 </w:t>
      </w:r>
      <w:r w:rsidRPr="00EC49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</w:t>
      </w:r>
      <w:r w:rsidRPr="00EC4966">
        <w:rPr>
          <w:rFonts w:ascii="Times New Roman" w:eastAsia="Times New Roman" w:hAnsi="Times New Roman" w:cs="Times New Roman"/>
          <w:kern w:val="0"/>
          <w14:ligatures w14:val="none"/>
        </w:rPr>
        <w:t>, ASH Annual Conference - CAR-T Safety Management Panel</w:t>
      </w:r>
    </w:p>
    <w:p w14:paraId="21025A2C" w14:textId="627F19FF" w:rsidR="003E5CA4" w:rsidRPr="00A07EE3" w:rsidRDefault="003E5CA4" w:rsidP="00A07E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E5CA4" w:rsidRPr="00A07EE3" w:rsidSect="00A07E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4D7C"/>
    <w:multiLevelType w:val="multilevel"/>
    <w:tmpl w:val="C88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40246"/>
    <w:multiLevelType w:val="multilevel"/>
    <w:tmpl w:val="BE3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428DD"/>
    <w:multiLevelType w:val="multilevel"/>
    <w:tmpl w:val="D1B6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1165A"/>
    <w:multiLevelType w:val="multilevel"/>
    <w:tmpl w:val="527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57128">
    <w:abstractNumId w:val="3"/>
  </w:num>
  <w:num w:numId="2" w16cid:durableId="959190234">
    <w:abstractNumId w:val="0"/>
  </w:num>
  <w:num w:numId="3" w16cid:durableId="674303519">
    <w:abstractNumId w:val="1"/>
  </w:num>
  <w:num w:numId="4" w16cid:durableId="1728264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E3"/>
    <w:rsid w:val="001D4820"/>
    <w:rsid w:val="003E5CA4"/>
    <w:rsid w:val="00656600"/>
    <w:rsid w:val="00A07EE3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D2875"/>
  <w15:chartTrackingRefBased/>
  <w15:docId w15:val="{FB91B600-6AAC-4B88-AFB2-824CA742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EE3"/>
  </w:style>
  <w:style w:type="paragraph" w:styleId="Heading1">
    <w:name w:val="heading 1"/>
    <w:basedOn w:val="Normal"/>
    <w:next w:val="Normal"/>
    <w:link w:val="Heading1Char"/>
    <w:uiPriority w:val="9"/>
    <w:qFormat/>
    <w:rsid w:val="00A0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708</Words>
  <Characters>5202</Characters>
  <Application>Microsoft Office Word</Application>
  <DocSecurity>0</DocSecurity>
  <Lines>77</Lines>
  <Paragraphs>38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2025-08-03T19:11:00Z</dcterms:created>
  <dcterms:modified xsi:type="dcterms:W3CDTF">2025-08-03T19:15:00Z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604fc9b1-fa23-4efb-aac1-9cfb22814538</vt:lpwstr>
  </property>
</Properties>
</file>