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CCD2" w14:textId="4595193A" w:rsidR="00EE67B1" w:rsidRPr="00EE67B1" w:rsidRDefault="00EE67B1" w:rsidP="00EE67B1">
      <w:pPr>
        <w:jc w:val="center"/>
      </w:pPr>
      <w:r w:rsidRPr="00EE67B1">
        <w:rPr>
          <w:b/>
          <w:bCs/>
        </w:rPr>
        <w:t>Confidential Candidate</w:t>
      </w:r>
      <w:r w:rsidRPr="00EE67B1">
        <w:br/>
        <w:t>South San Francisco, CA</w:t>
      </w:r>
      <w:r w:rsidRPr="00EE67B1">
        <w:br/>
      </w:r>
    </w:p>
    <w:p w14:paraId="6D817971" w14:textId="77777777" w:rsidR="00EE67B1" w:rsidRPr="00EE67B1" w:rsidRDefault="00EE67B1" w:rsidP="00EE67B1">
      <w:r w:rsidRPr="00EE67B1">
        <w:pict w14:anchorId="55106650">
          <v:rect id="_x0000_i1025" style="width:0;height:1.5pt" o:hralign="center" o:hrstd="t" o:hr="t" fillcolor="#a0a0a0" stroked="f"/>
        </w:pict>
      </w:r>
    </w:p>
    <w:p w14:paraId="1B1CC622" w14:textId="77777777" w:rsidR="00EE67B1" w:rsidRPr="00EE67B1" w:rsidRDefault="00EE67B1" w:rsidP="00EE67B1">
      <w:r w:rsidRPr="00EE67B1">
        <w:t>PROFESSIONAL SUMMARY</w:t>
      </w:r>
      <w:r w:rsidRPr="00EE67B1">
        <w:br/>
        <w:t>• MD-level Medical Director with 15+ years in neuroscience drug development, specializing in epilepsy and cell therapy</w:t>
      </w:r>
      <w:r w:rsidRPr="00EE67B1">
        <w:br/>
        <w:t>• Proven expertise in clinical trial design, regulatory strategy (FDA/EMA), and cross-functional leadership</w:t>
      </w:r>
      <w:r w:rsidRPr="00EE67B1">
        <w:br/>
        <w:t>• Based in South San Francisco Bay Area; hybrid-ready; compensation target $280K</w:t>
      </w:r>
      <w:r w:rsidRPr="00EE67B1">
        <w:br/>
        <w:t>• Collaborative, highly personable, and driven with a can-do attitude; passive candidate tracked for 2+ years</w:t>
      </w:r>
    </w:p>
    <w:p w14:paraId="39E9D75A" w14:textId="77777777" w:rsidR="00EE67B1" w:rsidRPr="00EE67B1" w:rsidRDefault="00EE67B1" w:rsidP="00EE67B1">
      <w:r w:rsidRPr="00EE67B1">
        <w:pict w14:anchorId="7131FC94">
          <v:rect id="_x0000_i1026" style="width:0;height:1.5pt" o:hralign="center" o:hrstd="t" o:hr="t" fillcolor="#a0a0a0" stroked="f"/>
        </w:pict>
      </w:r>
    </w:p>
    <w:p w14:paraId="5AF758BB" w14:textId="77777777" w:rsidR="00EE67B1" w:rsidRPr="00EE67B1" w:rsidRDefault="00EE67B1" w:rsidP="00EE67B1">
      <w:r w:rsidRPr="00EE67B1">
        <w:t>PROFESSIONAL EXPERIENCE</w:t>
      </w:r>
    </w:p>
    <w:p w14:paraId="5E13F13F" w14:textId="5F14B0DF" w:rsidR="00EE67B1" w:rsidRPr="00EE67B1" w:rsidRDefault="00EE67B1" w:rsidP="00EE67B1">
      <w:r>
        <w:rPr>
          <w:b/>
          <w:bCs/>
        </w:rPr>
        <w:t>Confidential</w:t>
      </w:r>
      <w:r w:rsidRPr="00EE67B1">
        <w:rPr>
          <w:b/>
          <w:bCs/>
        </w:rPr>
        <w:t xml:space="preserve"> Biotherapeutics</w:t>
      </w:r>
      <w:r w:rsidRPr="00EE67B1">
        <w:t xml:space="preserve"> — South San Francisco, CA</w:t>
      </w:r>
      <w:r w:rsidRPr="00EE67B1">
        <w:br/>
      </w:r>
      <w:r w:rsidRPr="00EE67B1">
        <w:rPr>
          <w:b/>
          <w:bCs/>
        </w:rPr>
        <w:t>Medical Director, Clinical Development</w:t>
      </w:r>
      <w:r w:rsidRPr="00EE67B1">
        <w:br/>
      </w:r>
      <w:r w:rsidRPr="00EE67B1">
        <w:rPr>
          <w:i/>
          <w:iCs/>
        </w:rPr>
        <w:t>Apr 2020 – Present</w:t>
      </w:r>
    </w:p>
    <w:p w14:paraId="3E1AECA2" w14:textId="77777777" w:rsidR="00EE67B1" w:rsidRPr="00EE67B1" w:rsidRDefault="00EE67B1" w:rsidP="00EE67B1">
      <w:pPr>
        <w:numPr>
          <w:ilvl w:val="0"/>
          <w:numId w:val="1"/>
        </w:numPr>
      </w:pPr>
      <w:r w:rsidRPr="00EE67B1">
        <w:t>Led end-to-end design of Phase I/II cell therapy trials for refractory epilepsy, including protocol drafting, site feasibility assessments, investigator selection, and CRO oversight to ensure rigorous execution.</w:t>
      </w:r>
    </w:p>
    <w:p w14:paraId="29F4C829" w14:textId="77777777" w:rsidR="00EE67B1" w:rsidRPr="00EE67B1" w:rsidRDefault="00EE67B1" w:rsidP="00EE67B1">
      <w:pPr>
        <w:numPr>
          <w:ilvl w:val="0"/>
          <w:numId w:val="1"/>
        </w:numPr>
      </w:pPr>
      <w:r w:rsidRPr="00EE67B1">
        <w:t>Coordinated cross-functional working groups to refine inclusion/exclusion criteria, dosing regimens, and safety monitoring plans, driving alignment among clinical operations, pharmacovigilance, and biostatistics.</w:t>
      </w:r>
    </w:p>
    <w:p w14:paraId="2EAFA769" w14:textId="77777777" w:rsidR="00EE67B1" w:rsidRPr="00EE67B1" w:rsidRDefault="00EE67B1" w:rsidP="00EE67B1">
      <w:pPr>
        <w:numPr>
          <w:ilvl w:val="0"/>
          <w:numId w:val="1"/>
        </w:numPr>
      </w:pPr>
      <w:r w:rsidRPr="00EE67B1">
        <w:t>Oversaw preparation and submission of the IND dossier—conducting gap analyses, integrating CMC/nonclinical inputs, and managing cross-departmental review cycles—to secure FDA clearance within 12 months.</w:t>
      </w:r>
    </w:p>
    <w:p w14:paraId="23B62ACF" w14:textId="77777777" w:rsidR="00EE67B1" w:rsidRPr="00EE67B1" w:rsidRDefault="00EE67B1" w:rsidP="00EE67B1">
      <w:pPr>
        <w:numPr>
          <w:ilvl w:val="0"/>
          <w:numId w:val="1"/>
        </w:numPr>
      </w:pPr>
      <w:r w:rsidRPr="00EE67B1">
        <w:t>Managed pre-IND and End-of-Phase meetings with FDA and EMA: developed briefing documents, rehearsed Q&amp;A, facilitated face-to-face discussions, and achieved fast-track designation for the lead asset.</w:t>
      </w:r>
    </w:p>
    <w:p w14:paraId="1E94FB80" w14:textId="77777777" w:rsidR="00EE67B1" w:rsidRPr="00EE67B1" w:rsidRDefault="00EE67B1" w:rsidP="00EE67B1">
      <w:pPr>
        <w:numPr>
          <w:ilvl w:val="0"/>
          <w:numId w:val="1"/>
        </w:numPr>
      </w:pPr>
      <w:r w:rsidRPr="00EE67B1">
        <w:t>Collaborated with global biostatistics and data management teams to standardize eCRF design, implement risk-based monitoring, and establish data-lock procedures across 15 international sites.</w:t>
      </w:r>
    </w:p>
    <w:p w14:paraId="54812F19" w14:textId="77777777" w:rsidR="00EE67B1" w:rsidRPr="00EE67B1" w:rsidRDefault="00EE67B1" w:rsidP="00EE67B1">
      <w:pPr>
        <w:numPr>
          <w:ilvl w:val="0"/>
          <w:numId w:val="1"/>
        </w:numPr>
      </w:pPr>
      <w:r w:rsidRPr="00EE67B1">
        <w:t>Introduced a real-time data quality dashboard and query resolution workflow, reducing data discrepancies by 30% and accelerating database lock timelines.</w:t>
      </w:r>
    </w:p>
    <w:p w14:paraId="7AF8A480" w14:textId="77777777" w:rsidR="00EE67B1" w:rsidRPr="00EE67B1" w:rsidRDefault="00EE67B1" w:rsidP="00EE67B1">
      <w:pPr>
        <w:numPr>
          <w:ilvl w:val="0"/>
          <w:numId w:val="1"/>
        </w:numPr>
      </w:pPr>
      <w:r w:rsidRPr="00EE67B1">
        <w:t>Partnered with CMC and translational science functions to define biomarker strategy: selected assays, validated endpoints, and implemented sample-shipping logistics.</w:t>
      </w:r>
    </w:p>
    <w:p w14:paraId="2FCBBB36" w14:textId="77777777" w:rsidR="00EE67B1" w:rsidRPr="00EE67B1" w:rsidRDefault="00EE67B1" w:rsidP="00EE67B1">
      <w:pPr>
        <w:numPr>
          <w:ilvl w:val="0"/>
          <w:numId w:val="1"/>
        </w:numPr>
      </w:pPr>
      <w:r w:rsidRPr="00EE67B1">
        <w:lastRenderedPageBreak/>
        <w:t>Chaired the biomarker working group, integrating translational findings into protocol amendments and supporting go/no-go decisions with quantitative data.</w:t>
      </w:r>
    </w:p>
    <w:p w14:paraId="35D9D212" w14:textId="77777777" w:rsidR="00EE67B1" w:rsidRPr="00EE67B1" w:rsidRDefault="00EE67B1" w:rsidP="00EE67B1">
      <w:pPr>
        <w:numPr>
          <w:ilvl w:val="0"/>
          <w:numId w:val="1"/>
        </w:numPr>
      </w:pPr>
      <w:r w:rsidRPr="00EE67B1">
        <w:t>Provided mentorship and training to junior clinical staff and site monitors on GCP standards, safety reporting, and protocol compliance.</w:t>
      </w:r>
    </w:p>
    <w:p w14:paraId="005CD303" w14:textId="77777777" w:rsidR="00EE67B1" w:rsidRPr="00EE67B1" w:rsidRDefault="00EE67B1" w:rsidP="00EE67B1">
      <w:pPr>
        <w:numPr>
          <w:ilvl w:val="0"/>
          <w:numId w:val="1"/>
        </w:numPr>
      </w:pPr>
      <w:r w:rsidRPr="00EE67B1">
        <w:t>Identified inefficiencies in trial start-up and site activation, redesigned workflows, and achieved a 20% reduction in cycle time from protocol approval to first-patient-in.</w:t>
      </w:r>
    </w:p>
    <w:p w14:paraId="0417BEBC" w14:textId="70740179" w:rsidR="00EE67B1" w:rsidRPr="00EE67B1" w:rsidRDefault="00EE67B1" w:rsidP="00EE67B1">
      <w:r>
        <w:rPr>
          <w:b/>
          <w:bCs/>
        </w:rPr>
        <w:t>Confidential</w:t>
      </w:r>
      <w:r w:rsidRPr="00EE67B1">
        <w:rPr>
          <w:b/>
          <w:bCs/>
        </w:rPr>
        <w:t xml:space="preserve"> Therapeutics</w:t>
      </w:r>
      <w:r w:rsidRPr="00EE67B1">
        <w:t xml:space="preserve"> — South San Francisco, CA</w:t>
      </w:r>
      <w:r w:rsidRPr="00EE67B1">
        <w:br/>
      </w:r>
      <w:r w:rsidRPr="00EE67B1">
        <w:rPr>
          <w:b/>
          <w:bCs/>
        </w:rPr>
        <w:t>Senior Clinical Program Lead</w:t>
      </w:r>
      <w:r w:rsidRPr="00EE67B1">
        <w:br/>
      </w:r>
      <w:r w:rsidRPr="00EE67B1">
        <w:rPr>
          <w:i/>
          <w:iCs/>
        </w:rPr>
        <w:t>Jan 2018 – Mar 2020</w:t>
      </w:r>
    </w:p>
    <w:p w14:paraId="1DFCDEF5" w14:textId="77777777" w:rsidR="00EE67B1" w:rsidRPr="00EE67B1" w:rsidRDefault="00EE67B1" w:rsidP="00EE67B1">
      <w:pPr>
        <w:numPr>
          <w:ilvl w:val="0"/>
          <w:numId w:val="2"/>
        </w:numPr>
      </w:pPr>
      <w:r w:rsidRPr="00EE67B1">
        <w:t>Directed global, multi-center trial protocols for a novel neurostimulation adjunct in epilepsy: authored core protocol documents, managed IRB/ethics submissions, and launched 20+ sites, boosting enrollment by 25%.</w:t>
      </w:r>
    </w:p>
    <w:p w14:paraId="090228BF" w14:textId="77777777" w:rsidR="00EE67B1" w:rsidRPr="00EE67B1" w:rsidRDefault="00EE67B1" w:rsidP="00EE67B1">
      <w:pPr>
        <w:numPr>
          <w:ilvl w:val="0"/>
          <w:numId w:val="2"/>
        </w:numPr>
      </w:pPr>
      <w:r w:rsidRPr="00EE67B1">
        <w:t>Developed vendor selection and oversight criteria for CROs, central labs, and imaging partners; negotiated SLAs, tracked KPIs, and enforced budgets to maintain fiscal discipline.</w:t>
      </w:r>
    </w:p>
    <w:p w14:paraId="32E1DC79" w14:textId="77777777" w:rsidR="00EE67B1" w:rsidRPr="00EE67B1" w:rsidRDefault="00EE67B1" w:rsidP="00EE67B1">
      <w:pPr>
        <w:numPr>
          <w:ilvl w:val="0"/>
          <w:numId w:val="2"/>
        </w:numPr>
      </w:pPr>
      <w:r w:rsidRPr="00EE67B1">
        <w:t>Led weekly cross-functional governance meetings (clinical ops, safety, biostatistics, regulatory) to track milestones, escalate risks, and implement corrective actions, ensuring on-time delivery.</w:t>
      </w:r>
    </w:p>
    <w:p w14:paraId="1DD3EF2E" w14:textId="77777777" w:rsidR="00EE67B1" w:rsidRPr="00EE67B1" w:rsidRDefault="00EE67B1" w:rsidP="00EE67B1">
      <w:pPr>
        <w:numPr>
          <w:ilvl w:val="0"/>
          <w:numId w:val="2"/>
        </w:numPr>
      </w:pPr>
      <w:r w:rsidRPr="00EE67B1">
        <w:t>Implemented a centralized data-review process, leveraging interim analytics and adaptive enrollment criteria to optimize site performance and maintain high data quality across global sites.</w:t>
      </w:r>
    </w:p>
    <w:p w14:paraId="668B720A" w14:textId="01FBE3EC" w:rsidR="00EE67B1" w:rsidRPr="00EE67B1" w:rsidRDefault="00EE67B1" w:rsidP="00EE67B1">
      <w:r>
        <w:rPr>
          <w:b/>
          <w:bCs/>
        </w:rPr>
        <w:t>Confidential</w:t>
      </w:r>
      <w:r w:rsidRPr="00EE67B1">
        <w:rPr>
          <w:b/>
          <w:bCs/>
        </w:rPr>
        <w:t xml:space="preserve"> Therapeutics</w:t>
      </w:r>
      <w:r w:rsidRPr="00EE67B1">
        <w:t xml:space="preserve"> — South San Francisco, CA</w:t>
      </w:r>
      <w:r w:rsidRPr="00EE67B1">
        <w:br/>
      </w:r>
      <w:r w:rsidRPr="00EE67B1">
        <w:rPr>
          <w:b/>
          <w:bCs/>
        </w:rPr>
        <w:t>Clinical Development Lead</w:t>
      </w:r>
      <w:r w:rsidRPr="00EE67B1">
        <w:br/>
      </w:r>
      <w:r w:rsidRPr="00EE67B1">
        <w:rPr>
          <w:i/>
          <w:iCs/>
        </w:rPr>
        <w:t>Jan 2016 – Dec 2017</w:t>
      </w:r>
    </w:p>
    <w:p w14:paraId="0EA2E648" w14:textId="77777777" w:rsidR="00EE67B1" w:rsidRPr="00EE67B1" w:rsidRDefault="00EE67B1" w:rsidP="00EE67B1">
      <w:pPr>
        <w:numPr>
          <w:ilvl w:val="0"/>
          <w:numId w:val="3"/>
        </w:numPr>
      </w:pPr>
      <w:r w:rsidRPr="00EE67B1">
        <w:t>Designed comprehensive outcome measures and site training curricula—including e-learning modules and hands-on workshops—that reduced protocol deviations by 40%.</w:t>
      </w:r>
    </w:p>
    <w:p w14:paraId="1A68FE86" w14:textId="77777777" w:rsidR="00EE67B1" w:rsidRPr="00EE67B1" w:rsidRDefault="00EE67B1" w:rsidP="00EE67B1">
      <w:pPr>
        <w:numPr>
          <w:ilvl w:val="0"/>
          <w:numId w:val="3"/>
        </w:numPr>
      </w:pPr>
      <w:r w:rsidRPr="00EE67B1">
        <w:t>Managed site monitoring and remote data checks: developed monitoring plans, conducted root-cause analyses of deviations, and implemented corrective-action plans to ensure compliance.</w:t>
      </w:r>
    </w:p>
    <w:p w14:paraId="48F90E28" w14:textId="77777777" w:rsidR="00EE67B1" w:rsidRPr="00EE67B1" w:rsidRDefault="00EE67B1" w:rsidP="00EE67B1">
      <w:pPr>
        <w:numPr>
          <w:ilvl w:val="0"/>
          <w:numId w:val="3"/>
        </w:numPr>
      </w:pPr>
      <w:r w:rsidRPr="00EE67B1">
        <w:t>Collaborated with medical writing and regulatory affairs to produce investigator brochures, clinical study reports, and protocol amendments, supporting seamless regulatory submissions.</w:t>
      </w:r>
    </w:p>
    <w:p w14:paraId="15A0E635" w14:textId="7C5EA056" w:rsidR="00EE67B1" w:rsidRPr="00EE67B1" w:rsidRDefault="00EE67B1" w:rsidP="00EE67B1">
      <w:r>
        <w:rPr>
          <w:b/>
          <w:bCs/>
        </w:rPr>
        <w:t>Confidential</w:t>
      </w:r>
      <w:r w:rsidRPr="00EE67B1">
        <w:rPr>
          <w:b/>
          <w:bCs/>
        </w:rPr>
        <w:t xml:space="preserve"> Research Group</w:t>
      </w:r>
      <w:r w:rsidRPr="00EE67B1">
        <w:t xml:space="preserve"> — Palo Alto, CA</w:t>
      </w:r>
      <w:r w:rsidRPr="00EE67B1">
        <w:br/>
      </w:r>
      <w:r w:rsidRPr="00EE67B1">
        <w:rPr>
          <w:b/>
          <w:bCs/>
        </w:rPr>
        <w:t>Clinical Project Manager</w:t>
      </w:r>
      <w:r w:rsidRPr="00EE67B1">
        <w:br/>
      </w:r>
      <w:r w:rsidRPr="00EE67B1">
        <w:rPr>
          <w:i/>
          <w:iCs/>
        </w:rPr>
        <w:t>Jun 2014 – Dec 2015</w:t>
      </w:r>
    </w:p>
    <w:p w14:paraId="58AC3247" w14:textId="77777777" w:rsidR="00EE67B1" w:rsidRPr="00EE67B1" w:rsidRDefault="00EE67B1" w:rsidP="00EE67B1">
      <w:pPr>
        <w:numPr>
          <w:ilvl w:val="0"/>
          <w:numId w:val="4"/>
        </w:numPr>
      </w:pPr>
      <w:r w:rsidRPr="00EE67B1">
        <w:t xml:space="preserve">Oversaw full lifecycle of a Phase II </w:t>
      </w:r>
      <w:proofErr w:type="gramStart"/>
      <w:r w:rsidRPr="00EE67B1">
        <w:t>small-molecule</w:t>
      </w:r>
      <w:proofErr w:type="gramEnd"/>
      <w:r w:rsidRPr="00EE67B1">
        <w:t xml:space="preserve"> neuroprotectant trial: protocol development, IRB/ethics submissions, site initiation, monitoring, and close-out.</w:t>
      </w:r>
    </w:p>
    <w:p w14:paraId="6111C261" w14:textId="77777777" w:rsidR="00EE67B1" w:rsidRPr="00EE67B1" w:rsidRDefault="00EE67B1" w:rsidP="00EE67B1">
      <w:pPr>
        <w:numPr>
          <w:ilvl w:val="0"/>
          <w:numId w:val="4"/>
        </w:numPr>
      </w:pPr>
      <w:r w:rsidRPr="00EE67B1">
        <w:t>Introduced adaptive design features and interim analysis plans; coordinated with statisticians to conduct data reviews and stakeholder presentations, reducing trial timelines by 20%.</w:t>
      </w:r>
    </w:p>
    <w:p w14:paraId="015AF55C" w14:textId="77777777" w:rsidR="00EE67B1" w:rsidRPr="00EE67B1" w:rsidRDefault="00EE67B1" w:rsidP="00EE67B1">
      <w:pPr>
        <w:numPr>
          <w:ilvl w:val="0"/>
          <w:numId w:val="4"/>
        </w:numPr>
      </w:pPr>
      <w:r w:rsidRPr="00EE67B1">
        <w:lastRenderedPageBreak/>
        <w:t>Developed project-tracking dashboards and executive reports, led cross-functional status calls, and managed budget forecasting for safety, enrollment, and resource utilization.</w:t>
      </w:r>
    </w:p>
    <w:p w14:paraId="1983700A" w14:textId="77777777" w:rsidR="00EE67B1" w:rsidRPr="00EE67B1" w:rsidRDefault="00EE67B1" w:rsidP="00EE67B1">
      <w:proofErr w:type="spellStart"/>
      <w:r w:rsidRPr="00EE67B1">
        <w:rPr>
          <w:b/>
          <w:bCs/>
        </w:rPr>
        <w:t>BioPharm</w:t>
      </w:r>
      <w:proofErr w:type="spellEnd"/>
      <w:r w:rsidRPr="00EE67B1">
        <w:rPr>
          <w:b/>
          <w:bCs/>
        </w:rPr>
        <w:t xml:space="preserve"> Research Group</w:t>
      </w:r>
      <w:r w:rsidRPr="00EE67B1">
        <w:t xml:space="preserve"> — Palo Alto, CA</w:t>
      </w:r>
      <w:r w:rsidRPr="00EE67B1">
        <w:br/>
      </w:r>
      <w:r w:rsidRPr="00EE67B1">
        <w:rPr>
          <w:b/>
          <w:bCs/>
        </w:rPr>
        <w:t>Associate Clinical Scientist</w:t>
      </w:r>
      <w:r w:rsidRPr="00EE67B1">
        <w:br/>
      </w:r>
      <w:r w:rsidRPr="00EE67B1">
        <w:rPr>
          <w:i/>
          <w:iCs/>
        </w:rPr>
        <w:t>Jun 2011 – May 2014</w:t>
      </w:r>
    </w:p>
    <w:p w14:paraId="626DEA27" w14:textId="77777777" w:rsidR="00EE67B1" w:rsidRPr="00EE67B1" w:rsidRDefault="00EE67B1" w:rsidP="00EE67B1">
      <w:pPr>
        <w:numPr>
          <w:ilvl w:val="0"/>
          <w:numId w:val="5"/>
        </w:numPr>
      </w:pPr>
      <w:r w:rsidRPr="00EE67B1">
        <w:t>Authored clinical sections of IND and CTA packages: drafted safety summaries, pharmacology reports, and development plans for first-in-human studies.</w:t>
      </w:r>
    </w:p>
    <w:p w14:paraId="2DBCBA31" w14:textId="77777777" w:rsidR="00EE67B1" w:rsidRPr="00EE67B1" w:rsidRDefault="00EE67B1" w:rsidP="00EE67B1">
      <w:pPr>
        <w:numPr>
          <w:ilvl w:val="0"/>
          <w:numId w:val="5"/>
        </w:numPr>
      </w:pPr>
      <w:r w:rsidRPr="00EE67B1">
        <w:t>Supported study start-up: performed site qualification visits, led investigator meetings, and trained site staff on protocol procedures and safety reporting.</w:t>
      </w:r>
    </w:p>
    <w:p w14:paraId="3C3FA7B1" w14:textId="77777777" w:rsidR="00EE67B1" w:rsidRPr="00EE67B1" w:rsidRDefault="00EE67B1" w:rsidP="00EE67B1">
      <w:pPr>
        <w:numPr>
          <w:ilvl w:val="0"/>
          <w:numId w:val="5"/>
        </w:numPr>
      </w:pPr>
      <w:r w:rsidRPr="00EE67B1">
        <w:t>Coordinated with nonclinical and CMC teams to align toxicology and manufacturing data with clinical protocol requirements, ensuring regulatory readiness.</w:t>
      </w:r>
    </w:p>
    <w:p w14:paraId="71110C7C" w14:textId="77777777" w:rsidR="00EE67B1" w:rsidRPr="00EE67B1" w:rsidRDefault="00EE67B1" w:rsidP="00EE67B1">
      <w:r w:rsidRPr="00EE67B1">
        <w:pict w14:anchorId="25B39ABA">
          <v:rect id="_x0000_i1027" style="width:0;height:1.5pt" o:hralign="center" o:hrstd="t" o:hr="t" fillcolor="#a0a0a0" stroked="f"/>
        </w:pict>
      </w:r>
    </w:p>
    <w:p w14:paraId="3618F36C" w14:textId="77777777" w:rsidR="00EE67B1" w:rsidRPr="00EE67B1" w:rsidRDefault="00EE67B1" w:rsidP="00EE67B1">
      <w:r w:rsidRPr="00EE67B1">
        <w:t>EDUCATION</w:t>
      </w:r>
      <w:r w:rsidRPr="00EE67B1">
        <w:br/>
        <w:t>Fellowship in Epilepsy &amp; Neurotherapeutics, 2010</w:t>
      </w:r>
      <w:r w:rsidRPr="00EE67B1">
        <w:br/>
        <w:t>Prestige Medical Center, CA</w:t>
      </w:r>
    </w:p>
    <w:p w14:paraId="763F522B" w14:textId="230B8524" w:rsidR="00EE67B1" w:rsidRPr="00EE67B1" w:rsidRDefault="00EE67B1" w:rsidP="00EE67B1">
      <w:r w:rsidRPr="00EE67B1">
        <w:t>Doctor of Medicine (MD), 2008</w:t>
      </w:r>
      <w:r w:rsidRPr="00EE67B1">
        <w:br/>
      </w:r>
      <w:r>
        <w:t xml:space="preserve">Stanford </w:t>
      </w:r>
      <w:r w:rsidRPr="00EE67B1">
        <w:t>University School of Medicine</w:t>
      </w:r>
    </w:p>
    <w:p w14:paraId="764036F3" w14:textId="77777777" w:rsidR="00EE67B1" w:rsidRPr="00EE67B1" w:rsidRDefault="00EE67B1" w:rsidP="00EE67B1">
      <w:r w:rsidRPr="00EE67B1">
        <w:pict w14:anchorId="764386D7">
          <v:rect id="_x0000_i1028" style="width:0;height:1.5pt" o:hralign="center" o:hrstd="t" o:hr="t" fillcolor="#a0a0a0" stroked="f"/>
        </w:pict>
      </w:r>
    </w:p>
    <w:p w14:paraId="188907E2" w14:textId="77777777" w:rsidR="00EE67B1" w:rsidRPr="00EE67B1" w:rsidRDefault="00EE67B1" w:rsidP="00EE67B1">
      <w:r w:rsidRPr="00EE67B1">
        <w:t>AWARDS AND ACTIVITIES</w:t>
      </w:r>
      <w:r w:rsidRPr="00EE67B1">
        <w:br/>
        <w:t>2023 Clinical Innovation Award, Epilepsy Foundation</w:t>
      </w:r>
      <w:r w:rsidRPr="00EE67B1">
        <w:br/>
        <w:t>2022 Panel Speaker, Bay Area Cell Therapy Symposium</w:t>
      </w:r>
    </w:p>
    <w:p w14:paraId="5C002977" w14:textId="77777777" w:rsidR="00EE67B1" w:rsidRPr="00EE67B1" w:rsidRDefault="00EE67B1" w:rsidP="00EE67B1">
      <w:r w:rsidRPr="00EE67B1">
        <w:pict w14:anchorId="1798EBEE">
          <v:rect id="_x0000_i1029" style="width:0;height:1.5pt" o:hralign="center" o:hrstd="t" o:hr="t" fillcolor="#a0a0a0" stroked="f"/>
        </w:pict>
      </w:r>
    </w:p>
    <w:p w14:paraId="0D439532" w14:textId="77777777" w:rsidR="00EE67B1" w:rsidRPr="00EE67B1" w:rsidRDefault="00EE67B1" w:rsidP="00EE67B1">
      <w:r w:rsidRPr="00EE67B1">
        <w:t>SKILLS</w:t>
      </w:r>
      <w:r w:rsidRPr="00EE67B1">
        <w:br/>
        <w:t>Clinical Trial Design · Regulatory Affairs · Cell Therapy Development · Neuroscience Research · Cross-functional Leadership</w:t>
      </w:r>
    </w:p>
    <w:p w14:paraId="791A5428" w14:textId="77777777" w:rsidR="003E5CA4" w:rsidRDefault="003E5CA4"/>
    <w:sectPr w:rsidR="003E5CA4" w:rsidSect="00EE67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592"/>
    <w:multiLevelType w:val="multilevel"/>
    <w:tmpl w:val="0FFA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173B2"/>
    <w:multiLevelType w:val="multilevel"/>
    <w:tmpl w:val="6386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53387"/>
    <w:multiLevelType w:val="multilevel"/>
    <w:tmpl w:val="FA72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A0248"/>
    <w:multiLevelType w:val="multilevel"/>
    <w:tmpl w:val="66D6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85BE0"/>
    <w:multiLevelType w:val="multilevel"/>
    <w:tmpl w:val="C62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899944">
    <w:abstractNumId w:val="0"/>
  </w:num>
  <w:num w:numId="2" w16cid:durableId="596838415">
    <w:abstractNumId w:val="3"/>
  </w:num>
  <w:num w:numId="3" w16cid:durableId="656305800">
    <w:abstractNumId w:val="2"/>
  </w:num>
  <w:num w:numId="4" w16cid:durableId="195238983">
    <w:abstractNumId w:val="1"/>
  </w:num>
  <w:num w:numId="5" w16cid:durableId="786312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B1"/>
    <w:rsid w:val="001D4820"/>
    <w:rsid w:val="003E5CA4"/>
    <w:rsid w:val="00757438"/>
    <w:rsid w:val="00CA2E6D"/>
    <w:rsid w:val="00EE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3A3C9"/>
  <w15:chartTrackingRefBased/>
  <w15:docId w15:val="{04018663-59A5-402C-8671-4F4769E7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67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0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687</Words>
  <Characters>4838</Characters>
  <Application>Microsoft Office Word</Application>
  <DocSecurity>0</DocSecurity>
  <Lines>94</Lines>
  <Paragraphs>39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2025-08-05T19:09:00Z</dcterms:created>
  <dcterms:modified xsi:type="dcterms:W3CDTF">2025-08-05T19:13:00Z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deb24378-b41c-4e6e-9208-bed2da9eba17</vt:lpwstr>
  </property>
</Properties>
</file>