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F900" w14:textId="5DF82979" w:rsidR="00A2201F" w:rsidRPr="00A2201F" w:rsidRDefault="00A2201F" w:rsidP="00A2201F">
      <w:pPr>
        <w:spacing w:before="100" w:beforeAutospacing="1" w:after="100" w:afterAutospacing="1" w:line="240" w:lineRule="auto"/>
        <w:jc w:val="center"/>
        <w:rPr>
          <w:rFonts w:ascii="Times New Roman" w:eastAsia="Times New Roman" w:hAnsi="Times New Roman" w:cs="Times New Roman"/>
          <w:kern w:val="0"/>
          <w14:ligatures w14:val="none"/>
        </w:rPr>
      </w:pPr>
      <w:r w:rsidRPr="00A2201F">
        <w:rPr>
          <w:rFonts w:ascii="Times New Roman" w:eastAsia="Times New Roman" w:hAnsi="Times New Roman" w:cs="Times New Roman"/>
          <w:b/>
          <w:bCs/>
          <w:kern w:val="0"/>
          <w14:ligatures w14:val="none"/>
        </w:rPr>
        <w:t>Confidential Candidate</w:t>
      </w:r>
      <w:r w:rsidRPr="00A2201F">
        <w:rPr>
          <w:rFonts w:ascii="Times New Roman" w:eastAsia="Times New Roman" w:hAnsi="Times New Roman" w:cs="Times New Roman"/>
          <w:kern w:val="0"/>
          <w14:ligatures w14:val="none"/>
        </w:rPr>
        <w:br/>
        <w:t>NYC Metro Area, NY</w:t>
      </w:r>
      <w:r>
        <w:rPr>
          <w:rFonts w:ascii="Times New Roman" w:eastAsia="Times New Roman" w:hAnsi="Times New Roman" w:cs="Times New Roman"/>
          <w:kern w:val="0"/>
          <w14:ligatures w14:val="none"/>
        </w:rPr>
        <w:t xml:space="preserve"> | </w:t>
      </w:r>
      <w:r w:rsidRPr="00A2201F">
        <w:rPr>
          <w:rFonts w:ascii="Times New Roman" w:eastAsia="Times New Roman" w:hAnsi="Times New Roman" w:cs="Times New Roman"/>
          <w:kern w:val="0"/>
          <w14:ligatures w14:val="none"/>
        </w:rPr>
        <w:t>Target Compensation: $420K</w:t>
      </w:r>
    </w:p>
    <w:p w14:paraId="5EFF3211"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b/>
          <w:bCs/>
          <w:kern w:val="0"/>
          <w14:ligatures w14:val="none"/>
        </w:rPr>
        <w:t>PROFESSIONAL SUMMARY</w:t>
      </w:r>
    </w:p>
    <w:p w14:paraId="7F30916F" w14:textId="77777777" w:rsidR="00A2201F" w:rsidRPr="00A2201F" w:rsidRDefault="00A2201F" w:rsidP="00A220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Collaborative and personable Executive Medical Director with 12+ years of experience leading classical hematology clinical development programs from IND through BLA submission</w:t>
      </w:r>
    </w:p>
    <w:p w14:paraId="054858AC" w14:textId="77777777" w:rsidR="00A2201F" w:rsidRPr="00A2201F" w:rsidRDefault="00A2201F" w:rsidP="00A220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Proven expertise in oncology and hematology drug development with strong regulatory strategy background and hands-on leadership approach</w:t>
      </w:r>
    </w:p>
    <w:p w14:paraId="437E7003" w14:textId="77777777" w:rsidR="00A2201F" w:rsidRPr="00A2201F" w:rsidRDefault="00A2201F" w:rsidP="00A220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Deep experience in IND/BLA submissions, clinical trial design, and cross-functional team management with a track record of successful product approvals</w:t>
      </w:r>
    </w:p>
    <w:p w14:paraId="649BFF66"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b/>
          <w:bCs/>
          <w:kern w:val="0"/>
          <w14:ligatures w14:val="none"/>
        </w:rPr>
        <w:t>PROFESSIONAL EXPERIENCE</w:t>
      </w:r>
    </w:p>
    <w:p w14:paraId="4FA1E3DD"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201F">
        <w:rPr>
          <w:rFonts w:ascii="Times New Roman" w:eastAsia="Times New Roman" w:hAnsi="Times New Roman" w:cs="Times New Roman"/>
          <w:b/>
          <w:bCs/>
          <w:kern w:val="0"/>
          <w14:ligatures w14:val="none"/>
        </w:rPr>
        <w:t>BioCure</w:t>
      </w:r>
      <w:proofErr w:type="spellEnd"/>
      <w:r w:rsidRPr="00A2201F">
        <w:rPr>
          <w:rFonts w:ascii="Times New Roman" w:eastAsia="Times New Roman" w:hAnsi="Times New Roman" w:cs="Times New Roman"/>
          <w:b/>
          <w:bCs/>
          <w:kern w:val="0"/>
          <w14:ligatures w14:val="none"/>
        </w:rPr>
        <w:t xml:space="preserve"> Therapeutics</w:t>
      </w:r>
      <w:r w:rsidRPr="00A2201F">
        <w:rPr>
          <w:rFonts w:ascii="Times New Roman" w:eastAsia="Times New Roman" w:hAnsi="Times New Roman" w:cs="Times New Roman"/>
          <w:kern w:val="0"/>
          <w14:ligatures w14:val="none"/>
        </w:rPr>
        <w:t xml:space="preserve"> February 2019 - Present</w:t>
      </w:r>
      <w:r w:rsidRPr="00A2201F">
        <w:rPr>
          <w:rFonts w:ascii="Times New Roman" w:eastAsia="Times New Roman" w:hAnsi="Times New Roman" w:cs="Times New Roman"/>
          <w:kern w:val="0"/>
          <w14:ligatures w14:val="none"/>
        </w:rPr>
        <w:br/>
      </w:r>
      <w:r w:rsidRPr="00A2201F">
        <w:rPr>
          <w:rFonts w:ascii="Times New Roman" w:eastAsia="Times New Roman" w:hAnsi="Times New Roman" w:cs="Times New Roman"/>
          <w:i/>
          <w:iCs/>
          <w:kern w:val="0"/>
          <w14:ligatures w14:val="none"/>
        </w:rPr>
        <w:t>Executive Medical Director, Hematology</w:t>
      </w:r>
    </w:p>
    <w:p w14:paraId="10AF8023" w14:textId="77777777" w:rsidR="00A2201F" w:rsidRPr="00A2201F" w:rsidRDefault="00A2201F" w:rsidP="00A22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Led comprehensive clinical development strategy for 3 classical hematology programs resulting in 2 successful IND submissions and 1 BLA filing, overseeing all aspects from protocol development through regulatory submission and post-marketing commitments</w:t>
      </w:r>
    </w:p>
    <w:p w14:paraId="37D372F1" w14:textId="77777777" w:rsidR="00A2201F" w:rsidRPr="00A2201F" w:rsidRDefault="00A2201F" w:rsidP="00A22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Designed and executed complex Phase 2/3 clinical trials for novel therapies in acute myeloid leukemia and myelodysplastic syndromes, including adaptive trial designs, interim analysis planning, and data safety monitoring board coordination across 45+ clinical sites</w:t>
      </w:r>
    </w:p>
    <w:p w14:paraId="45ED522E" w14:textId="77777777" w:rsidR="00A2201F" w:rsidRPr="00A2201F" w:rsidRDefault="00A2201F" w:rsidP="00A22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Built and managed high-performing cross-functional teams of 15+ clinical scientists, regulatory affairs, biostatistics, and clinical operations professionals, implementing matrix management structures and fostering collaborative environments that reduced project timelines by 25%</w:t>
      </w:r>
    </w:p>
    <w:p w14:paraId="3C768541" w14:textId="77777777" w:rsidR="00A2201F" w:rsidRPr="00A2201F" w:rsidRDefault="00A2201F" w:rsidP="00A22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Established and maintained strategic relationships with key opinion leader advisory boards across 8 major academic medical centers, conducting quarterly scientific advisory meetings and incorporating expert feedback into clinical development strategies</w:t>
      </w:r>
    </w:p>
    <w:p w14:paraId="29E2E096" w14:textId="77777777" w:rsidR="00A2201F" w:rsidRPr="00A2201F" w:rsidRDefault="00A2201F" w:rsidP="00A22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Successfully reduced clinical development timelines by 18 months through innovative adaptive trial designs, seamless Phase 2/3 transitions, and streamlined regulatory interaction strategies, resulting in $30M cost savings for the organization</w:t>
      </w:r>
    </w:p>
    <w:p w14:paraId="7FCEA963" w14:textId="77777777" w:rsidR="00A2201F" w:rsidRPr="00A2201F" w:rsidRDefault="00A2201F" w:rsidP="00A22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Navigated complex FDA interactions including Type B meetings, End-of-Phase 2 meetings, and pre-BLA discussions, preparing comprehensive briefing documents and leading regulatory strategy discussions with senior leadership and external consultants</w:t>
      </w:r>
    </w:p>
    <w:p w14:paraId="3645456F" w14:textId="77777777" w:rsidR="00A2201F" w:rsidRPr="00A2201F" w:rsidRDefault="00A2201F" w:rsidP="00A22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Mentored and developed 5 junior medical directors and clinical scientists through structured development programs, career coaching, and hands-on project leadership opportunities, with 4 achieving promotions within 18 months</w:t>
      </w:r>
    </w:p>
    <w:p w14:paraId="1A858094" w14:textId="77777777" w:rsidR="00A2201F" w:rsidRPr="00A2201F" w:rsidRDefault="00A2201F" w:rsidP="00A22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Collaborated extensively with CMC, nonclinical, and biomarker teams to ensure integrated development approaches, leading weekly cross-functional meetings and establishing clear communication protocols for seamless program execution</w:t>
      </w:r>
    </w:p>
    <w:p w14:paraId="0EA26BA9"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201F">
        <w:rPr>
          <w:rFonts w:ascii="Times New Roman" w:eastAsia="Times New Roman" w:hAnsi="Times New Roman" w:cs="Times New Roman"/>
          <w:b/>
          <w:bCs/>
          <w:kern w:val="0"/>
          <w14:ligatures w14:val="none"/>
        </w:rPr>
        <w:t>Hematos</w:t>
      </w:r>
      <w:proofErr w:type="spellEnd"/>
      <w:r w:rsidRPr="00A2201F">
        <w:rPr>
          <w:rFonts w:ascii="Times New Roman" w:eastAsia="Times New Roman" w:hAnsi="Times New Roman" w:cs="Times New Roman"/>
          <w:b/>
          <w:bCs/>
          <w:kern w:val="0"/>
          <w14:ligatures w14:val="none"/>
        </w:rPr>
        <w:t xml:space="preserve"> Biopharmaceuticals</w:t>
      </w:r>
      <w:r w:rsidRPr="00A2201F">
        <w:rPr>
          <w:rFonts w:ascii="Times New Roman" w:eastAsia="Times New Roman" w:hAnsi="Times New Roman" w:cs="Times New Roman"/>
          <w:kern w:val="0"/>
          <w14:ligatures w14:val="none"/>
        </w:rPr>
        <w:t xml:space="preserve"> June 2015 - January 2019</w:t>
      </w:r>
      <w:r w:rsidRPr="00A2201F">
        <w:rPr>
          <w:rFonts w:ascii="Times New Roman" w:eastAsia="Times New Roman" w:hAnsi="Times New Roman" w:cs="Times New Roman"/>
          <w:kern w:val="0"/>
          <w14:ligatures w14:val="none"/>
        </w:rPr>
        <w:br/>
      </w:r>
      <w:r w:rsidRPr="00A2201F">
        <w:rPr>
          <w:rFonts w:ascii="Times New Roman" w:eastAsia="Times New Roman" w:hAnsi="Times New Roman" w:cs="Times New Roman"/>
          <w:i/>
          <w:iCs/>
          <w:kern w:val="0"/>
          <w14:ligatures w14:val="none"/>
        </w:rPr>
        <w:t>Senior Medical Director, Clinical Development</w:t>
      </w:r>
      <w:r w:rsidRPr="00A2201F">
        <w:rPr>
          <w:rFonts w:ascii="Times New Roman" w:eastAsia="Times New Roman" w:hAnsi="Times New Roman" w:cs="Times New Roman"/>
          <w:kern w:val="0"/>
          <w14:ligatures w14:val="none"/>
        </w:rPr>
        <w:t xml:space="preserve"> March 2017 - January 2019</w:t>
      </w:r>
      <w:r w:rsidRPr="00A2201F">
        <w:rPr>
          <w:rFonts w:ascii="Times New Roman" w:eastAsia="Times New Roman" w:hAnsi="Times New Roman" w:cs="Times New Roman"/>
          <w:kern w:val="0"/>
          <w14:ligatures w14:val="none"/>
        </w:rPr>
        <w:br/>
      </w:r>
      <w:r w:rsidRPr="00A2201F">
        <w:rPr>
          <w:rFonts w:ascii="Times New Roman" w:eastAsia="Times New Roman" w:hAnsi="Times New Roman" w:cs="Times New Roman"/>
          <w:i/>
          <w:iCs/>
          <w:kern w:val="0"/>
          <w14:ligatures w14:val="none"/>
        </w:rPr>
        <w:t>Medical Director, Oncology</w:t>
      </w:r>
      <w:r w:rsidRPr="00A2201F">
        <w:rPr>
          <w:rFonts w:ascii="Times New Roman" w:eastAsia="Times New Roman" w:hAnsi="Times New Roman" w:cs="Times New Roman"/>
          <w:kern w:val="0"/>
          <w14:ligatures w14:val="none"/>
        </w:rPr>
        <w:t xml:space="preserve"> June 2015 - February 2017</w:t>
      </w:r>
    </w:p>
    <w:p w14:paraId="0808E739" w14:textId="77777777" w:rsidR="00A2201F" w:rsidRPr="00A2201F" w:rsidRDefault="00A2201F" w:rsidP="00A22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Oversaw comprehensive clinical operations for 4 hematology-oncology programs in Phase 1-3 development, managing clinical budgets exceeding $75M annually and ensuring adherence to timelines, quality standards, and regulatory requirements across multiple therapeutic indications</w:t>
      </w:r>
    </w:p>
    <w:p w14:paraId="589B2B5B" w14:textId="77777777" w:rsidR="00A2201F" w:rsidRPr="00A2201F" w:rsidRDefault="00A2201F" w:rsidP="00A22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Led regulatory strategy development and health authority interactions for classical hematology portfolio, preparing and submitting IND applications, safety reports, and protocol amendments while maintaining ongoing dialogue with FDA through formal meetings and informal communications</w:t>
      </w:r>
    </w:p>
    <w:p w14:paraId="53DB1DFF" w14:textId="77777777" w:rsidR="00A2201F" w:rsidRPr="00A2201F" w:rsidRDefault="00A2201F" w:rsidP="00A22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lastRenderedPageBreak/>
        <w:t>Managed clinical data review and medical monitoring for 850+ patients across multiple studies, conducting weekly safety reviews, adjudicating adverse events, and ensuring patient safety through proactive risk management and mitigation strategies</w:t>
      </w:r>
    </w:p>
    <w:p w14:paraId="181A949C" w14:textId="77777777" w:rsidR="00A2201F" w:rsidRPr="00A2201F" w:rsidRDefault="00A2201F" w:rsidP="00A22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Collaborated extensively with CMC and regulatory teams to support successful IND submissions for 2 novel agents, contributing medical expertise to manufacturing strategies, analytical method development, and regulatory filing preparations</w:t>
      </w:r>
    </w:p>
    <w:p w14:paraId="4EC3D766" w14:textId="77777777" w:rsidR="00A2201F" w:rsidRPr="00A2201F" w:rsidRDefault="00A2201F" w:rsidP="00A22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Established clinical trial sites and investigator relationships across North America and Europe, conducting site selection visits, principal investigator meetings, and ongoing site management activities to ensure optimal patient enrollment and data quality</w:t>
      </w:r>
    </w:p>
    <w:p w14:paraId="4A2B3CC5" w14:textId="77777777" w:rsidR="00A2201F" w:rsidRPr="00A2201F" w:rsidRDefault="00A2201F" w:rsidP="00A22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Contributed to 12 peer-reviewed publications and 25+ conference presentations, leading manuscript development teams, coordinating author contributions, and presenting clinical data at major scientific meetings including ASH, ASCO, and EHA</w:t>
      </w:r>
    </w:p>
    <w:p w14:paraId="77C72DCD" w14:textId="77777777" w:rsidR="00A2201F" w:rsidRPr="00A2201F" w:rsidRDefault="00A2201F" w:rsidP="00A22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Implemented comprehensive clinical development SOPs and quality management systems, establishing medical monitoring procedures, safety reporting protocols, and data review standards that were adopted across multiple therapeutic areas within the organization</w:t>
      </w:r>
    </w:p>
    <w:p w14:paraId="2F350251" w14:textId="77777777" w:rsidR="00A2201F" w:rsidRPr="00A2201F" w:rsidRDefault="00A2201F" w:rsidP="00A22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Led clinical pharmacology and biomarker strategy development, working closely with translational medicine teams to integrate biomarker endpoints into clinical trials and support regulatory submissions with robust pharmacokinetic and pharmacodynamic data</w:t>
      </w:r>
    </w:p>
    <w:p w14:paraId="1FA6A62F"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b/>
          <w:bCs/>
          <w:kern w:val="0"/>
          <w14:ligatures w14:val="none"/>
        </w:rPr>
        <w:t>Academic Medical Center of New York</w:t>
      </w:r>
      <w:r w:rsidRPr="00A2201F">
        <w:rPr>
          <w:rFonts w:ascii="Times New Roman" w:eastAsia="Times New Roman" w:hAnsi="Times New Roman" w:cs="Times New Roman"/>
          <w:kern w:val="0"/>
          <w14:ligatures w14:val="none"/>
        </w:rPr>
        <w:t xml:space="preserve"> July 2012 - May 2015</w:t>
      </w:r>
      <w:r w:rsidRPr="00A2201F">
        <w:rPr>
          <w:rFonts w:ascii="Times New Roman" w:eastAsia="Times New Roman" w:hAnsi="Times New Roman" w:cs="Times New Roman"/>
          <w:kern w:val="0"/>
          <w14:ligatures w14:val="none"/>
        </w:rPr>
        <w:br/>
      </w:r>
      <w:r w:rsidRPr="00A2201F">
        <w:rPr>
          <w:rFonts w:ascii="Times New Roman" w:eastAsia="Times New Roman" w:hAnsi="Times New Roman" w:cs="Times New Roman"/>
          <w:i/>
          <w:iCs/>
          <w:kern w:val="0"/>
          <w14:ligatures w14:val="none"/>
        </w:rPr>
        <w:t>Assistant Professor, Hematology-Oncology</w:t>
      </w:r>
    </w:p>
    <w:p w14:paraId="57421ADC" w14:textId="77777777" w:rsidR="00A2201F" w:rsidRPr="00A2201F" w:rsidRDefault="00A2201F" w:rsidP="00A220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Conducted comprehensive translational research program in acute leukemia with focus on novel therapeutic targets, managing research budgets exceeding $2M annually and leading multidisciplinary research teams including postdoctoral fellows, graduate students, and research coordinators</w:t>
      </w:r>
    </w:p>
    <w:p w14:paraId="1E0D5632" w14:textId="77777777" w:rsidR="00A2201F" w:rsidRPr="00A2201F" w:rsidRDefault="00A2201F" w:rsidP="00A220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Served as principal investigator on 3 investigator-initiated clinical trials, overseeing all aspects of trial design, regulatory submissions, patient recruitment, data collection, and safety monitoring while maintaining compliance with institutional and federal regulations</w:t>
      </w:r>
    </w:p>
    <w:p w14:paraId="00B081B4" w14:textId="77777777" w:rsidR="00A2201F" w:rsidRPr="00A2201F" w:rsidRDefault="00A2201F" w:rsidP="00A220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Provided comprehensive clinical care for patients with various hematologic malignancies in both inpatient and outpatient settings, managing complex cases requiring multi-agent chemotherapy regimens, stem cell transplantation coordination, and supportive care management</w:t>
      </w:r>
    </w:p>
    <w:p w14:paraId="0E6C7916" w14:textId="77777777" w:rsidR="00A2201F" w:rsidRPr="00A2201F" w:rsidRDefault="00A2201F" w:rsidP="00A220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Published 15 peer-reviewed articles in high-impact journals including Blood, Journal of Clinical Oncology, and Leukemia, contributing original research findings that advanced understanding of leukemia biology and therapeutic approaches</w:t>
      </w:r>
    </w:p>
    <w:p w14:paraId="726DF84A" w14:textId="77777777" w:rsidR="00A2201F" w:rsidRPr="00A2201F" w:rsidRDefault="00A2201F" w:rsidP="00A220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Established collaborative research partnerships with pharmaceutical companies and cooperative groups, serving as site principal investigator for multiple industry-sponsored clinical trials and contributing to protocol development and data analysis activities</w:t>
      </w:r>
    </w:p>
    <w:p w14:paraId="7FDB162B" w14:textId="77777777" w:rsidR="00A2201F" w:rsidRPr="00A2201F" w:rsidRDefault="00A2201F" w:rsidP="00A220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Mentored medical students, residents, and fellows through clinical rotations and research projects, developing educational curricula and assessment tools that enhanced hematology-oncology training programs within the institution</w:t>
      </w:r>
    </w:p>
    <w:p w14:paraId="12EE6BC8"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b/>
          <w:bCs/>
          <w:kern w:val="0"/>
          <w14:ligatures w14:val="none"/>
        </w:rPr>
        <w:t>EDUCATION</w:t>
      </w:r>
    </w:p>
    <w:p w14:paraId="5FA98A62"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b/>
          <w:bCs/>
          <w:kern w:val="0"/>
          <w14:ligatures w14:val="none"/>
        </w:rPr>
        <w:t>Harvard Medical School</w:t>
      </w:r>
      <w:r w:rsidRPr="00A2201F">
        <w:rPr>
          <w:rFonts w:ascii="Times New Roman" w:eastAsia="Times New Roman" w:hAnsi="Times New Roman" w:cs="Times New Roman"/>
          <w:kern w:val="0"/>
          <w14:ligatures w14:val="none"/>
        </w:rPr>
        <w:t>, 2008</w:t>
      </w:r>
      <w:r w:rsidRPr="00A2201F">
        <w:rPr>
          <w:rFonts w:ascii="Times New Roman" w:eastAsia="Times New Roman" w:hAnsi="Times New Roman" w:cs="Times New Roman"/>
          <w:kern w:val="0"/>
          <w14:ligatures w14:val="none"/>
        </w:rPr>
        <w:br/>
        <w:t>MD/PhD in Cancer Biology, Magna Cum Laude</w:t>
      </w:r>
    </w:p>
    <w:p w14:paraId="062EAA52"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b/>
          <w:bCs/>
          <w:kern w:val="0"/>
          <w14:ligatures w14:val="none"/>
        </w:rPr>
        <w:t>Yale University</w:t>
      </w:r>
      <w:r w:rsidRPr="00A2201F">
        <w:rPr>
          <w:rFonts w:ascii="Times New Roman" w:eastAsia="Times New Roman" w:hAnsi="Times New Roman" w:cs="Times New Roman"/>
          <w:kern w:val="0"/>
          <w14:ligatures w14:val="none"/>
        </w:rPr>
        <w:t>, 2002</w:t>
      </w:r>
      <w:r w:rsidRPr="00A2201F">
        <w:rPr>
          <w:rFonts w:ascii="Times New Roman" w:eastAsia="Times New Roman" w:hAnsi="Times New Roman" w:cs="Times New Roman"/>
          <w:kern w:val="0"/>
          <w14:ligatures w14:val="none"/>
        </w:rPr>
        <w:br/>
        <w:t>Bachelor of Science in Molecular Biology, Summa Cum Laude</w:t>
      </w:r>
    </w:p>
    <w:p w14:paraId="4748C1AA"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b/>
          <w:bCs/>
          <w:kern w:val="0"/>
          <w14:ligatures w14:val="none"/>
        </w:rPr>
        <w:t>TRAINING</w:t>
      </w:r>
    </w:p>
    <w:p w14:paraId="4D3A613C"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b/>
          <w:bCs/>
          <w:kern w:val="0"/>
          <w14:ligatures w14:val="none"/>
        </w:rPr>
        <w:lastRenderedPageBreak/>
        <w:t>Memorial Sloan Kettering Cancer Center</w:t>
      </w:r>
      <w:r w:rsidRPr="00A2201F">
        <w:rPr>
          <w:rFonts w:ascii="Times New Roman" w:eastAsia="Times New Roman" w:hAnsi="Times New Roman" w:cs="Times New Roman"/>
          <w:kern w:val="0"/>
          <w14:ligatures w14:val="none"/>
        </w:rPr>
        <w:t xml:space="preserve"> 2008-2012</w:t>
      </w:r>
      <w:r w:rsidRPr="00A2201F">
        <w:rPr>
          <w:rFonts w:ascii="Times New Roman" w:eastAsia="Times New Roman" w:hAnsi="Times New Roman" w:cs="Times New Roman"/>
          <w:kern w:val="0"/>
          <w14:ligatures w14:val="none"/>
        </w:rPr>
        <w:br/>
        <w:t>Residency in Internal Medicine, Fellowship in Hematology-Oncology</w:t>
      </w:r>
    </w:p>
    <w:p w14:paraId="53B129C4"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b/>
          <w:bCs/>
          <w:kern w:val="0"/>
          <w14:ligatures w14:val="none"/>
        </w:rPr>
        <w:t>AWARDS AND ACTIVITIES</w:t>
      </w:r>
    </w:p>
    <w:p w14:paraId="4E9C1E6B" w14:textId="77777777" w:rsidR="00A2201F" w:rsidRPr="00A2201F" w:rsidRDefault="00A2201F" w:rsidP="00A2201F">
      <w:pPr>
        <w:spacing w:before="100" w:beforeAutospacing="1" w:after="100" w:afterAutospacing="1" w:line="240" w:lineRule="auto"/>
        <w:rPr>
          <w:rFonts w:ascii="Times New Roman" w:eastAsia="Times New Roman" w:hAnsi="Times New Roman" w:cs="Times New Roman"/>
          <w:kern w:val="0"/>
          <w14:ligatures w14:val="none"/>
        </w:rPr>
      </w:pPr>
      <w:r w:rsidRPr="00A2201F">
        <w:rPr>
          <w:rFonts w:ascii="Times New Roman" w:eastAsia="Times New Roman" w:hAnsi="Times New Roman" w:cs="Times New Roman"/>
          <w:kern w:val="0"/>
          <w14:ligatures w14:val="none"/>
        </w:rPr>
        <w:t>2023 American Society of Hematology Abstract Achievement Award</w:t>
      </w:r>
      <w:r w:rsidRPr="00A2201F">
        <w:rPr>
          <w:rFonts w:ascii="Times New Roman" w:eastAsia="Times New Roman" w:hAnsi="Times New Roman" w:cs="Times New Roman"/>
          <w:kern w:val="0"/>
          <w14:ligatures w14:val="none"/>
        </w:rPr>
        <w:br/>
        <w:t>2021 FDA Orphan Drug Designation - Lead Medical Officer</w:t>
      </w:r>
      <w:r w:rsidRPr="00A2201F">
        <w:rPr>
          <w:rFonts w:ascii="Times New Roman" w:eastAsia="Times New Roman" w:hAnsi="Times New Roman" w:cs="Times New Roman"/>
          <w:kern w:val="0"/>
          <w14:ligatures w14:val="none"/>
        </w:rPr>
        <w:br/>
        <w:t>2019 Speaker, World Congress on Cancers of the Blood</w:t>
      </w:r>
    </w:p>
    <w:p w14:paraId="12C26EC0" w14:textId="77777777" w:rsidR="003E5CA4" w:rsidRDefault="003E5CA4"/>
    <w:sectPr w:rsidR="003E5CA4" w:rsidSect="00A220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4334"/>
    <w:multiLevelType w:val="multilevel"/>
    <w:tmpl w:val="ABBA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094BE1"/>
    <w:multiLevelType w:val="multilevel"/>
    <w:tmpl w:val="726C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633200"/>
    <w:multiLevelType w:val="multilevel"/>
    <w:tmpl w:val="B2E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F1E6E"/>
    <w:multiLevelType w:val="multilevel"/>
    <w:tmpl w:val="2462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965913">
    <w:abstractNumId w:val="2"/>
  </w:num>
  <w:num w:numId="2" w16cid:durableId="1436947148">
    <w:abstractNumId w:val="0"/>
  </w:num>
  <w:num w:numId="3" w16cid:durableId="434636676">
    <w:abstractNumId w:val="1"/>
  </w:num>
  <w:num w:numId="4" w16cid:durableId="12797218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01F"/>
    <w:rsid w:val="001D4820"/>
    <w:rsid w:val="003E5CA4"/>
    <w:rsid w:val="00A2201F"/>
    <w:rsid w:val="00CA2E6D"/>
    <w:rsid w:val="00EB6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E6E18"/>
  <w15:chartTrackingRefBased/>
  <w15:docId w15:val="{CDBEC792-359C-4466-98B6-0DEF4F59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01F"/>
    <w:rPr>
      <w:rFonts w:eastAsiaTheme="majorEastAsia" w:cstheme="majorBidi"/>
      <w:color w:val="272727" w:themeColor="text1" w:themeTint="D8"/>
    </w:rPr>
  </w:style>
  <w:style w:type="paragraph" w:styleId="Title">
    <w:name w:val="Title"/>
    <w:basedOn w:val="Normal"/>
    <w:next w:val="Normal"/>
    <w:link w:val="TitleChar"/>
    <w:uiPriority w:val="10"/>
    <w:qFormat/>
    <w:rsid w:val="00A22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01F"/>
    <w:pPr>
      <w:spacing w:before="160"/>
      <w:jc w:val="center"/>
    </w:pPr>
    <w:rPr>
      <w:i/>
      <w:iCs/>
      <w:color w:val="404040" w:themeColor="text1" w:themeTint="BF"/>
    </w:rPr>
  </w:style>
  <w:style w:type="character" w:customStyle="1" w:styleId="QuoteChar">
    <w:name w:val="Quote Char"/>
    <w:basedOn w:val="DefaultParagraphFont"/>
    <w:link w:val="Quote"/>
    <w:uiPriority w:val="29"/>
    <w:rsid w:val="00A2201F"/>
    <w:rPr>
      <w:i/>
      <w:iCs/>
      <w:color w:val="404040" w:themeColor="text1" w:themeTint="BF"/>
    </w:rPr>
  </w:style>
  <w:style w:type="paragraph" w:styleId="ListParagraph">
    <w:name w:val="List Paragraph"/>
    <w:basedOn w:val="Normal"/>
    <w:uiPriority w:val="34"/>
    <w:qFormat/>
    <w:rsid w:val="00A2201F"/>
    <w:pPr>
      <w:ind w:left="720"/>
      <w:contextualSpacing/>
    </w:pPr>
  </w:style>
  <w:style w:type="character" w:styleId="IntenseEmphasis">
    <w:name w:val="Intense Emphasis"/>
    <w:basedOn w:val="DefaultParagraphFont"/>
    <w:uiPriority w:val="21"/>
    <w:qFormat/>
    <w:rsid w:val="00A2201F"/>
    <w:rPr>
      <w:i/>
      <w:iCs/>
      <w:color w:val="0F4761" w:themeColor="accent1" w:themeShade="BF"/>
    </w:rPr>
  </w:style>
  <w:style w:type="paragraph" w:styleId="IntenseQuote">
    <w:name w:val="Intense Quote"/>
    <w:basedOn w:val="Normal"/>
    <w:next w:val="Normal"/>
    <w:link w:val="IntenseQuoteChar"/>
    <w:uiPriority w:val="30"/>
    <w:qFormat/>
    <w:rsid w:val="00A22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01F"/>
    <w:rPr>
      <w:i/>
      <w:iCs/>
      <w:color w:val="0F4761" w:themeColor="accent1" w:themeShade="BF"/>
    </w:rPr>
  </w:style>
  <w:style w:type="character" w:styleId="IntenseReference">
    <w:name w:val="Intense Reference"/>
    <w:basedOn w:val="DefaultParagraphFont"/>
    <w:uiPriority w:val="32"/>
    <w:qFormat/>
    <w:rsid w:val="00A220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65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733A9-47B1-45CC-A037-594C40D71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856</Words>
  <Characters>6171</Characters>
  <Application>Microsoft Office Word</Application>
  <DocSecurity>0</DocSecurity>
  <Lines>51</Lines>
  <Paragraphs>14</Paragraphs>
  <ScaleCrop>false</ScaleCrop>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2025-07-17T19:36:00Z</dcterms:created>
  <dcterms:modified xsi:type="dcterms:W3CDTF">2025-07-17T19:38:00Z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77e8fc8e-32e1-4d6c-a872-58473469b9cd</vt:lpwstr>
  </property>
</Properties>
</file>