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D3DCD" w14:textId="75B6D9B3" w:rsidR="00CB11B8" w:rsidRDefault="00CB11B8" w:rsidP="00CB11B8">
      <w:pPr>
        <w:jc w:val="center"/>
      </w:pPr>
      <w:r w:rsidRPr="00CB11B8">
        <w:rPr>
          <w:b/>
          <w:bCs/>
        </w:rPr>
        <w:t>Confidential Candidate</w:t>
      </w:r>
    </w:p>
    <w:p w14:paraId="3B03B66B" w14:textId="0DE8B386" w:rsidR="00CB11B8" w:rsidRPr="00CB11B8" w:rsidRDefault="00CB11B8" w:rsidP="00CB11B8">
      <w:pPr>
        <w:jc w:val="center"/>
      </w:pPr>
      <w:r w:rsidRPr="00CB11B8">
        <w:t>New Jersey | Open to $320K+ compensation</w:t>
      </w:r>
    </w:p>
    <w:p w14:paraId="1879FDCA" w14:textId="77777777" w:rsidR="00CB11B8" w:rsidRPr="00CB11B8" w:rsidRDefault="00CB11B8" w:rsidP="00CB11B8">
      <w:pPr>
        <w:rPr>
          <w:b/>
          <w:bCs/>
        </w:rPr>
      </w:pPr>
      <w:r w:rsidRPr="00CB11B8">
        <w:rPr>
          <w:b/>
          <w:bCs/>
        </w:rPr>
        <w:t>PROFESSIONAL SUMMARY</w:t>
      </w:r>
    </w:p>
    <w:p w14:paraId="1B09FCD6" w14:textId="77777777" w:rsidR="00CB11B8" w:rsidRPr="00CB11B8" w:rsidRDefault="00CB11B8" w:rsidP="00CB11B8">
      <w:pPr>
        <w:numPr>
          <w:ilvl w:val="0"/>
          <w:numId w:val="1"/>
        </w:numPr>
      </w:pPr>
      <w:r w:rsidRPr="00CB11B8">
        <w:t>Board-certified physician with 8+ years specialized experience in drug safety and pharmacovigilance within cell therapy and immunotherapy development</w:t>
      </w:r>
    </w:p>
    <w:p w14:paraId="69355809" w14:textId="77777777" w:rsidR="00CB11B8" w:rsidRPr="00CB11B8" w:rsidRDefault="00CB11B8" w:rsidP="00CB11B8">
      <w:pPr>
        <w:numPr>
          <w:ilvl w:val="0"/>
          <w:numId w:val="1"/>
        </w:numPr>
      </w:pPr>
      <w:r w:rsidRPr="00CB11B8">
        <w:t>Expert in US/EU pharmacovigilance regulations, signal detection, safety monitoring, and registrational study oversight with proven CAR-T safety experience</w:t>
      </w:r>
    </w:p>
    <w:p w14:paraId="3E7F373F" w14:textId="77777777" w:rsidR="00CB11B8" w:rsidRPr="00CB11B8" w:rsidRDefault="00CB11B8" w:rsidP="00CB11B8">
      <w:pPr>
        <w:numPr>
          <w:ilvl w:val="0"/>
          <w:numId w:val="1"/>
        </w:numPr>
      </w:pPr>
      <w:r w:rsidRPr="00CB11B8">
        <w:t>Collaborative leader known for building high-performing cross-functional teams and delivering IND/BLA submissions on accelerated timelines</w:t>
      </w:r>
    </w:p>
    <w:p w14:paraId="31774DE5" w14:textId="77777777" w:rsidR="00CB11B8" w:rsidRPr="00CB11B8" w:rsidRDefault="00CB11B8" w:rsidP="00CB11B8">
      <w:pPr>
        <w:rPr>
          <w:b/>
          <w:bCs/>
        </w:rPr>
      </w:pPr>
      <w:r w:rsidRPr="00CB11B8">
        <w:rPr>
          <w:b/>
          <w:bCs/>
        </w:rPr>
        <w:t>PROFESSIONAL EXPERIENCE</w:t>
      </w:r>
    </w:p>
    <w:p w14:paraId="30B952CE" w14:textId="77777777" w:rsidR="00CB11B8" w:rsidRDefault="00CB11B8" w:rsidP="00CB11B8">
      <w:proofErr w:type="spellStart"/>
      <w:r w:rsidRPr="00CB11B8">
        <w:rPr>
          <w:b/>
          <w:bCs/>
        </w:rPr>
        <w:t>VelocityCell</w:t>
      </w:r>
      <w:proofErr w:type="spellEnd"/>
      <w:r w:rsidRPr="00CB11B8">
        <w:rPr>
          <w:b/>
          <w:bCs/>
        </w:rPr>
        <w:t xml:space="preserve"> Therapeutics</w:t>
      </w:r>
      <w:r w:rsidRPr="00CB11B8">
        <w:t xml:space="preserve"> March 2021 - Present </w:t>
      </w:r>
    </w:p>
    <w:p w14:paraId="48F41425" w14:textId="02CA94C1" w:rsidR="00CB11B8" w:rsidRPr="00CB11B8" w:rsidRDefault="00CB11B8" w:rsidP="00CB11B8">
      <w:r w:rsidRPr="00CB11B8">
        <w:rPr>
          <w:b/>
          <w:bCs/>
        </w:rPr>
        <w:t>Senior Medical Director, Drug Safety &amp; Pharmacovigilance</w:t>
      </w:r>
    </w:p>
    <w:p w14:paraId="56B5B3FE" w14:textId="77777777" w:rsidR="00CB11B8" w:rsidRPr="00CB11B8" w:rsidRDefault="00CB11B8" w:rsidP="00CB11B8">
      <w:pPr>
        <w:numPr>
          <w:ilvl w:val="0"/>
          <w:numId w:val="2"/>
        </w:numPr>
      </w:pPr>
      <w:r w:rsidRPr="00CB11B8">
        <w:t>Led comprehensive pharmacovigilance strategy development for 3 CAR-T programs from IND through registrational studies, coordinating with clinical development, regulatory affairs, and manufacturing teams to ensure integrated safety oversight resulting in successful FDA breakthrough therapy designations for 2 programs within 18-month timelines</w:t>
      </w:r>
    </w:p>
    <w:p w14:paraId="13C70E56" w14:textId="77777777" w:rsidR="00CB11B8" w:rsidRPr="00CB11B8" w:rsidRDefault="00CB11B8" w:rsidP="00CB11B8">
      <w:pPr>
        <w:numPr>
          <w:ilvl w:val="0"/>
          <w:numId w:val="2"/>
        </w:numPr>
      </w:pPr>
      <w:r w:rsidRPr="00CB11B8">
        <w:t>Established and implemented comprehensive safety monitoring framework incorporating real-time adverse event tracking, predictive analytics, and automated signal detection algorithms that reduced safety signal identification time by 40% across all clinical programs while maintaining 100% regulatory compliance</w:t>
      </w:r>
    </w:p>
    <w:p w14:paraId="567DC4C5" w14:textId="77777777" w:rsidR="00CB11B8" w:rsidRPr="00CB11B8" w:rsidRDefault="00CB11B8" w:rsidP="00CB11B8">
      <w:pPr>
        <w:numPr>
          <w:ilvl w:val="0"/>
          <w:numId w:val="2"/>
        </w:numPr>
      </w:pPr>
      <w:r w:rsidRPr="00CB11B8">
        <w:t>Directed end-to-end safety review and risk assessment processes for 15+ clinical protocols supporting hematologic malignancy programs, including protocol design input, safety run-in evaluations, dose escalation safety reviews, and ongoing safety surveillance throughout study conduct</w:t>
      </w:r>
    </w:p>
    <w:p w14:paraId="31F29701" w14:textId="77777777" w:rsidR="00CB11B8" w:rsidRPr="00CB11B8" w:rsidRDefault="00CB11B8" w:rsidP="00CB11B8">
      <w:pPr>
        <w:numPr>
          <w:ilvl w:val="0"/>
          <w:numId w:val="2"/>
        </w:numPr>
      </w:pPr>
      <w:r w:rsidRPr="00CB11B8">
        <w:t>Collaborated extensively with Janssen partnership team on joint safety assessments for co-developed multiple myeloma CAR-T therapy, participating in weekly safety review meetings, quarterly joint safety committee sessions, and coordinated responses to regulatory inquiries from both FDA and EMA</w:t>
      </w:r>
    </w:p>
    <w:p w14:paraId="4297C83F" w14:textId="77777777" w:rsidR="00CB11B8" w:rsidRPr="00CB11B8" w:rsidRDefault="00CB11B8" w:rsidP="00CB11B8">
      <w:pPr>
        <w:numPr>
          <w:ilvl w:val="0"/>
          <w:numId w:val="2"/>
        </w:numPr>
      </w:pPr>
      <w:r w:rsidRPr="00CB11B8">
        <w:t>Authored and submitted 25+ regulatory submissions including investigational new drug applications, safety updates, development safety update reports, and comprehensive responses to FDA/EMA inquiries, maintaining 95% first-pass approval rate</w:t>
      </w:r>
    </w:p>
    <w:p w14:paraId="53E9EC48" w14:textId="77777777" w:rsidR="00CB11B8" w:rsidRPr="00CB11B8" w:rsidRDefault="00CB11B8" w:rsidP="00CB11B8">
      <w:pPr>
        <w:numPr>
          <w:ilvl w:val="0"/>
          <w:numId w:val="2"/>
        </w:numPr>
      </w:pPr>
      <w:r w:rsidRPr="00CB11B8">
        <w:t>Built and managed cross-functional Safety Monitoring Team conducting monthly risk-benefit evaluations, quarterly comprehensive safety reviews, and ad-hoc safety assessments for emerging signals, ensuring consistent safety oversight across all programs</w:t>
      </w:r>
    </w:p>
    <w:p w14:paraId="501A665D" w14:textId="77777777" w:rsidR="00CB11B8" w:rsidRPr="00CB11B8" w:rsidRDefault="00CB11B8" w:rsidP="00CB11B8">
      <w:pPr>
        <w:numPr>
          <w:ilvl w:val="0"/>
          <w:numId w:val="2"/>
        </w:numPr>
      </w:pPr>
      <w:r w:rsidRPr="00CB11B8">
        <w:lastRenderedPageBreak/>
        <w:t>Implemented automated safety database systems and data visualization tools improving adverse event processing efficiency by 35%, reducing manual data entry errors by 90%, and enabling real-time safety monitoring capabilities</w:t>
      </w:r>
    </w:p>
    <w:p w14:paraId="1FD5E051" w14:textId="77777777" w:rsidR="00CB11B8" w:rsidRPr="00CB11B8" w:rsidRDefault="00CB11B8" w:rsidP="00CB11B8">
      <w:pPr>
        <w:numPr>
          <w:ilvl w:val="0"/>
          <w:numId w:val="2"/>
        </w:numPr>
      </w:pPr>
      <w:r w:rsidRPr="00CB11B8">
        <w:t>Developed and executed urgent safety measure protocols including safety communications, protocol amendments, and regulatory notifications, successfully managing 8 urgent safety situations without program delays or regulatory citations</w:t>
      </w:r>
    </w:p>
    <w:p w14:paraId="38F6A8ED" w14:textId="77777777" w:rsidR="00CB11B8" w:rsidRDefault="00CB11B8" w:rsidP="00CB11B8">
      <w:proofErr w:type="spellStart"/>
      <w:r w:rsidRPr="00CB11B8">
        <w:rPr>
          <w:b/>
          <w:bCs/>
        </w:rPr>
        <w:t>Immuno</w:t>
      </w:r>
      <w:proofErr w:type="spellEnd"/>
      <w:r w:rsidRPr="00CB11B8">
        <w:rPr>
          <w:b/>
          <w:bCs/>
        </w:rPr>
        <w:t xml:space="preserve"> Dynamics Inc.</w:t>
      </w:r>
      <w:r w:rsidRPr="00CB11B8">
        <w:t xml:space="preserve"> June 2017 - February 2021 </w:t>
      </w:r>
    </w:p>
    <w:p w14:paraId="56D4E7C1" w14:textId="77777777" w:rsidR="00CB11B8" w:rsidRDefault="00CB11B8" w:rsidP="00CB11B8">
      <w:r w:rsidRPr="00CB11B8">
        <w:rPr>
          <w:b/>
          <w:bCs/>
        </w:rPr>
        <w:t>Medical Director, Drug Safety</w:t>
      </w:r>
      <w:r w:rsidRPr="00CB11B8">
        <w:t xml:space="preserve"> March 2019 - February 2021 </w:t>
      </w:r>
    </w:p>
    <w:p w14:paraId="6B0B57CB" w14:textId="69BB706D" w:rsidR="00CB11B8" w:rsidRPr="00CB11B8" w:rsidRDefault="00CB11B8" w:rsidP="00CB11B8">
      <w:r w:rsidRPr="00CB11B8">
        <w:rPr>
          <w:b/>
          <w:bCs/>
        </w:rPr>
        <w:t>Associate Medical Director, Pharmacovigilance</w:t>
      </w:r>
      <w:r w:rsidRPr="00CB11B8">
        <w:t xml:space="preserve"> June 2017 - February 2019</w:t>
      </w:r>
    </w:p>
    <w:p w14:paraId="2D33F4D1" w14:textId="77777777" w:rsidR="00CB11B8" w:rsidRPr="00CB11B8" w:rsidRDefault="00CB11B8" w:rsidP="00CB11B8">
      <w:pPr>
        <w:numPr>
          <w:ilvl w:val="0"/>
          <w:numId w:val="3"/>
        </w:numPr>
      </w:pPr>
      <w:r w:rsidRPr="00CB11B8">
        <w:t>Conducted comprehensive medical safety review and causality assessment for 200+ serious adverse events across 8 oncology studies, utilizing Bradford Hill criteria and WHO-UMC causality assessment methods while maintaining detailed medical narratives and safety case documentation for regulatory submissions</w:t>
      </w:r>
    </w:p>
    <w:p w14:paraId="3D43C952" w14:textId="77777777" w:rsidR="00CB11B8" w:rsidRPr="00CB11B8" w:rsidRDefault="00CB11B8" w:rsidP="00CB11B8">
      <w:pPr>
        <w:numPr>
          <w:ilvl w:val="0"/>
          <w:numId w:val="3"/>
        </w:numPr>
      </w:pPr>
      <w:r w:rsidRPr="00CB11B8">
        <w:t>Developed company's first comprehensive pharmacovigilance standard operating procedures ensuring full compliance with ICH-E2E guidelines, FDA safety reporting requirements, and EMA pharmacovigilance regulations, including processes for expedited reporting, periodic safety reports, and safety signal management</w:t>
      </w:r>
    </w:p>
    <w:p w14:paraId="6C8F2EFF" w14:textId="77777777" w:rsidR="00CB11B8" w:rsidRPr="00CB11B8" w:rsidRDefault="00CB11B8" w:rsidP="00CB11B8">
      <w:pPr>
        <w:numPr>
          <w:ilvl w:val="0"/>
          <w:numId w:val="3"/>
        </w:numPr>
      </w:pPr>
      <w:r w:rsidRPr="00CB11B8">
        <w:t>Led critical urgent safety measure implementations across multiple clinical programs, coordinating with clinical teams, investigators, and regulatory authorities to ensure patient safety while maintaining study integrity, resulting in zero regulatory citations during 3 FDA inspections and 2 EMA assessments</w:t>
      </w:r>
    </w:p>
    <w:p w14:paraId="4C0ACF2B" w14:textId="77777777" w:rsidR="00CB11B8" w:rsidRPr="00CB11B8" w:rsidRDefault="00CB11B8" w:rsidP="00CB11B8">
      <w:pPr>
        <w:numPr>
          <w:ilvl w:val="0"/>
          <w:numId w:val="3"/>
        </w:numPr>
      </w:pPr>
      <w:r w:rsidRPr="00CB11B8">
        <w:t>Managed complex CRO relationships for global safety operations across US, EU, and APAC regions, overseeing safety data collection, adverse event processing, medical review, and regulatory reporting for 12 clinical studies with 150+ active sites</w:t>
      </w:r>
    </w:p>
    <w:p w14:paraId="55BA7910" w14:textId="77777777" w:rsidR="00CB11B8" w:rsidRPr="00CB11B8" w:rsidRDefault="00CB11B8" w:rsidP="00CB11B8">
      <w:pPr>
        <w:numPr>
          <w:ilvl w:val="0"/>
          <w:numId w:val="3"/>
        </w:numPr>
      </w:pPr>
      <w:r w:rsidRPr="00CB11B8">
        <w:t>Designed and executed comprehensive signal detection protocols incorporating statistical methods, medical review, and literature surveillance, successfully identifying 3 critical safety signals requiring immediate protocol amendments and regulatory notifications while preventing potential patient harm</w:t>
      </w:r>
    </w:p>
    <w:p w14:paraId="6DC34FD9" w14:textId="77777777" w:rsidR="00CB11B8" w:rsidRPr="00CB11B8" w:rsidRDefault="00CB11B8" w:rsidP="00CB11B8">
      <w:pPr>
        <w:numPr>
          <w:ilvl w:val="0"/>
          <w:numId w:val="3"/>
        </w:numPr>
      </w:pPr>
      <w:r w:rsidRPr="00CB11B8">
        <w:t>Presented detailed safety data analyses and risk-benefit assessments to Data Safety Monitoring Boards for 5 Phase I/II immunotherapy trials, providing clear medical interpretations of complex safety profiles and recommendations for study continuation, modification, or termination</w:t>
      </w:r>
    </w:p>
    <w:p w14:paraId="78DB2D64" w14:textId="77777777" w:rsidR="00CB11B8" w:rsidRPr="00CB11B8" w:rsidRDefault="00CB11B8" w:rsidP="00CB11B8">
      <w:pPr>
        <w:numPr>
          <w:ilvl w:val="0"/>
          <w:numId w:val="3"/>
        </w:numPr>
      </w:pPr>
      <w:r w:rsidRPr="00CB11B8">
        <w:t>Established safety training programs for clinical site personnel, conducted safety monitoring visits to high-enrolling sites, and developed safety communication strategies ensuring consistent safety data collection and reporting standards across all study locations</w:t>
      </w:r>
    </w:p>
    <w:p w14:paraId="0B695562" w14:textId="77777777" w:rsidR="00CB11B8" w:rsidRPr="00CB11B8" w:rsidRDefault="00CB11B8" w:rsidP="00CB11B8">
      <w:pPr>
        <w:numPr>
          <w:ilvl w:val="0"/>
          <w:numId w:val="3"/>
        </w:numPr>
      </w:pPr>
      <w:r w:rsidRPr="00CB11B8">
        <w:lastRenderedPageBreak/>
        <w:t>Collaborated with biostatistics teams on safety analysis plans, safety endpoints definitions, and statistical safety monitoring procedures, contributing to 3 successful IND submissions and 2 breakthrough therapy designation requests</w:t>
      </w:r>
    </w:p>
    <w:p w14:paraId="62FD5469" w14:textId="77777777" w:rsidR="00CB11B8" w:rsidRPr="00CB11B8" w:rsidRDefault="00CB11B8" w:rsidP="00CB11B8">
      <w:pPr>
        <w:rPr>
          <w:b/>
          <w:bCs/>
        </w:rPr>
      </w:pPr>
      <w:r w:rsidRPr="00CB11B8">
        <w:rPr>
          <w:b/>
          <w:bCs/>
        </w:rPr>
        <w:t>EDUCATION</w:t>
      </w:r>
    </w:p>
    <w:p w14:paraId="2B9C28BF" w14:textId="77777777" w:rsidR="00CB11B8" w:rsidRPr="00CB11B8" w:rsidRDefault="00CB11B8" w:rsidP="00CB11B8">
      <w:r w:rsidRPr="00CB11B8">
        <w:rPr>
          <w:b/>
          <w:bCs/>
        </w:rPr>
        <w:t>Johns Hopkins University School of Medicine</w:t>
      </w:r>
      <w:r w:rsidRPr="00CB11B8">
        <w:t>, 2013 Doctor of Medicine (MD)</w:t>
      </w:r>
    </w:p>
    <w:p w14:paraId="20D3F0BE" w14:textId="77777777" w:rsidR="00CB11B8" w:rsidRPr="00CB11B8" w:rsidRDefault="00CB11B8" w:rsidP="00CB11B8">
      <w:r w:rsidRPr="00CB11B8">
        <w:rPr>
          <w:b/>
          <w:bCs/>
        </w:rPr>
        <w:t>University of Pennsylvania</w:t>
      </w:r>
      <w:r w:rsidRPr="00CB11B8">
        <w:t>, 2009 Bachelor of Science in Biochemistry, Magna Cum Laude</w:t>
      </w:r>
    </w:p>
    <w:p w14:paraId="7DC77C31" w14:textId="77777777" w:rsidR="00CB11B8" w:rsidRPr="00CB11B8" w:rsidRDefault="00CB11B8" w:rsidP="00CB11B8">
      <w:r w:rsidRPr="00CB11B8">
        <w:rPr>
          <w:b/>
          <w:bCs/>
        </w:rPr>
        <w:t>Board Certifications</w:t>
      </w:r>
      <w:r w:rsidRPr="00CB11B8">
        <w:t xml:space="preserve"> American Board of Internal Medicine, 2016</w:t>
      </w:r>
    </w:p>
    <w:p w14:paraId="68F45577" w14:textId="77777777" w:rsidR="00CB11B8" w:rsidRPr="00CB11B8" w:rsidRDefault="00CB11B8" w:rsidP="00CB11B8">
      <w:pPr>
        <w:rPr>
          <w:b/>
          <w:bCs/>
        </w:rPr>
      </w:pPr>
      <w:r w:rsidRPr="00CB11B8">
        <w:rPr>
          <w:b/>
          <w:bCs/>
        </w:rPr>
        <w:t>AWARDS AND ACTIVITIES</w:t>
      </w:r>
    </w:p>
    <w:p w14:paraId="610595AC" w14:textId="77777777" w:rsidR="00CB11B8" w:rsidRDefault="00CB11B8" w:rsidP="00CB11B8">
      <w:r w:rsidRPr="00CB11B8">
        <w:t xml:space="preserve">2023 Speaker, DIA Global Annual Meeting - "CAR-T Safety Monitoring Best Practices" </w:t>
      </w:r>
    </w:p>
    <w:p w14:paraId="2FC22B18" w14:textId="77777777" w:rsidR="00CB11B8" w:rsidRDefault="00CB11B8" w:rsidP="00CB11B8">
      <w:r w:rsidRPr="00CB11B8">
        <w:t xml:space="preserve">2022 Excellence in Safety Award, </w:t>
      </w:r>
      <w:proofErr w:type="spellStart"/>
      <w:r w:rsidRPr="00CB11B8">
        <w:t>VelocityCell</w:t>
      </w:r>
      <w:proofErr w:type="spellEnd"/>
      <w:r w:rsidRPr="00CB11B8">
        <w:t xml:space="preserve"> Therapeutics</w:t>
      </w:r>
    </w:p>
    <w:p w14:paraId="007FA534" w14:textId="46FC124F" w:rsidR="00CB11B8" w:rsidRPr="00CB11B8" w:rsidRDefault="00CB11B8" w:rsidP="00CB11B8">
      <w:r w:rsidRPr="00CB11B8">
        <w:t>2021 FDA Breakthrough Therapy Designation Team Recognition</w:t>
      </w:r>
    </w:p>
    <w:p w14:paraId="7FFCEDFF" w14:textId="77777777" w:rsidR="003E5CA4" w:rsidRDefault="003E5CA4"/>
    <w:sectPr w:rsidR="003E5CA4" w:rsidSect="00CB11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24C0A"/>
    <w:multiLevelType w:val="multilevel"/>
    <w:tmpl w:val="CC7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56DEF"/>
    <w:multiLevelType w:val="multilevel"/>
    <w:tmpl w:val="867C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4353A"/>
    <w:multiLevelType w:val="multilevel"/>
    <w:tmpl w:val="841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243953">
    <w:abstractNumId w:val="2"/>
  </w:num>
  <w:num w:numId="2" w16cid:durableId="76289375">
    <w:abstractNumId w:val="1"/>
  </w:num>
  <w:num w:numId="3" w16cid:durableId="5047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1B8"/>
    <w:rsid w:val="001D4820"/>
    <w:rsid w:val="003E5CA4"/>
    <w:rsid w:val="00CA2E6D"/>
    <w:rsid w:val="00CA78F8"/>
    <w:rsid w:val="00CB1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66F29"/>
  <w15:chartTrackingRefBased/>
  <w15:docId w15:val="{F2F68F40-B590-47D0-9396-EF7C361E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1B8"/>
    <w:rPr>
      <w:rFonts w:eastAsiaTheme="majorEastAsia" w:cstheme="majorBidi"/>
      <w:color w:val="272727" w:themeColor="text1" w:themeTint="D8"/>
    </w:rPr>
  </w:style>
  <w:style w:type="paragraph" w:styleId="Title">
    <w:name w:val="Title"/>
    <w:basedOn w:val="Normal"/>
    <w:next w:val="Normal"/>
    <w:link w:val="TitleChar"/>
    <w:uiPriority w:val="10"/>
    <w:qFormat/>
    <w:rsid w:val="00CB1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1B8"/>
    <w:pPr>
      <w:spacing w:before="160"/>
      <w:jc w:val="center"/>
    </w:pPr>
    <w:rPr>
      <w:i/>
      <w:iCs/>
      <w:color w:val="404040" w:themeColor="text1" w:themeTint="BF"/>
    </w:rPr>
  </w:style>
  <w:style w:type="character" w:customStyle="1" w:styleId="QuoteChar">
    <w:name w:val="Quote Char"/>
    <w:basedOn w:val="DefaultParagraphFont"/>
    <w:link w:val="Quote"/>
    <w:uiPriority w:val="29"/>
    <w:rsid w:val="00CB11B8"/>
    <w:rPr>
      <w:i/>
      <w:iCs/>
      <w:color w:val="404040" w:themeColor="text1" w:themeTint="BF"/>
    </w:rPr>
  </w:style>
  <w:style w:type="paragraph" w:styleId="ListParagraph">
    <w:name w:val="List Paragraph"/>
    <w:basedOn w:val="Normal"/>
    <w:uiPriority w:val="34"/>
    <w:qFormat/>
    <w:rsid w:val="00CB11B8"/>
    <w:pPr>
      <w:ind w:left="720"/>
      <w:contextualSpacing/>
    </w:pPr>
  </w:style>
  <w:style w:type="character" w:styleId="IntenseEmphasis">
    <w:name w:val="Intense Emphasis"/>
    <w:basedOn w:val="DefaultParagraphFont"/>
    <w:uiPriority w:val="21"/>
    <w:qFormat/>
    <w:rsid w:val="00CB11B8"/>
    <w:rPr>
      <w:i/>
      <w:iCs/>
      <w:color w:val="0F4761" w:themeColor="accent1" w:themeShade="BF"/>
    </w:rPr>
  </w:style>
  <w:style w:type="paragraph" w:styleId="IntenseQuote">
    <w:name w:val="Intense Quote"/>
    <w:basedOn w:val="Normal"/>
    <w:next w:val="Normal"/>
    <w:link w:val="IntenseQuoteChar"/>
    <w:uiPriority w:val="30"/>
    <w:qFormat/>
    <w:rsid w:val="00CB1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1B8"/>
    <w:rPr>
      <w:i/>
      <w:iCs/>
      <w:color w:val="0F4761" w:themeColor="accent1" w:themeShade="BF"/>
    </w:rPr>
  </w:style>
  <w:style w:type="character" w:styleId="IntenseReference">
    <w:name w:val="Intense Reference"/>
    <w:basedOn w:val="DefaultParagraphFont"/>
    <w:uiPriority w:val="32"/>
    <w:qFormat/>
    <w:rsid w:val="00CB11B8"/>
    <w:rPr>
      <w:b/>
      <w:bCs/>
      <w:smallCaps/>
      <w:color w:val="0F4761" w:themeColor="accent1" w:themeShade="BF"/>
      <w:spacing w:val="5"/>
    </w:rPr>
  </w:style>
  <w:style w:type="character" w:styleId="Hyperlink">
    <w:name w:val="Hyperlink"/>
    <w:basedOn w:val="DefaultParagraphFont"/>
    <w:uiPriority w:val="99"/>
    <w:unhideWhenUsed/>
    <w:rsid w:val="00CB11B8"/>
    <w:rPr>
      <w:color w:val="467886" w:themeColor="hyperlink"/>
      <w:u w:val="single"/>
    </w:rPr>
  </w:style>
  <w:style w:type="character" w:styleId="UnresolvedMention">
    <w:name w:val="Unresolved Mention"/>
    <w:basedOn w:val="DefaultParagraphFont"/>
    <w:uiPriority w:val="99"/>
    <w:semiHidden/>
    <w:unhideWhenUsed/>
    <w:rsid w:val="00CB1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2037">
      <w:bodyDiv w:val="1"/>
      <w:marLeft w:val="0"/>
      <w:marRight w:val="0"/>
      <w:marTop w:val="0"/>
      <w:marBottom w:val="0"/>
      <w:divBdr>
        <w:top w:val="none" w:sz="0" w:space="0" w:color="auto"/>
        <w:left w:val="none" w:sz="0" w:space="0" w:color="auto"/>
        <w:bottom w:val="none" w:sz="0" w:space="0" w:color="auto"/>
        <w:right w:val="none" w:sz="0" w:space="0" w:color="auto"/>
      </w:divBdr>
    </w:div>
    <w:div w:id="623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699</Words>
  <Characters>5035</Characters>
  <Application>Microsoft Office Word</Application>
  <DocSecurity>0</DocSecurity>
  <Lines>41</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2025-07-17T14:14:00Z</dcterms:created>
  <dcterms:modified xsi:type="dcterms:W3CDTF">2025-07-17T14:18:00Z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b8183546-63bc-4215-ac2c-9fcbd642c6db</vt:lpwstr>
  </property>
</Properties>
</file>