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583B" w14:textId="53F80D02" w:rsidR="009D61ED" w:rsidRPr="009D61ED" w:rsidRDefault="009D61ED" w:rsidP="009D61ED">
      <w:pPr>
        <w:jc w:val="center"/>
      </w:pPr>
      <w:r w:rsidRPr="009D61ED">
        <w:rPr>
          <w:b/>
          <w:bCs/>
        </w:rPr>
        <w:t>Confidential Candidate</w:t>
      </w:r>
      <w:r w:rsidRPr="009D61ED">
        <w:br/>
        <w:t>Carlsbad, CA</w:t>
      </w:r>
      <w:r w:rsidRPr="009D61ED">
        <w:br/>
      </w:r>
    </w:p>
    <w:p w14:paraId="77398B99" w14:textId="77777777" w:rsidR="009D61ED" w:rsidRPr="009D61ED" w:rsidRDefault="009D61ED" w:rsidP="009D61ED">
      <w:r w:rsidRPr="009D61ED">
        <w:rPr>
          <w:b/>
          <w:bCs/>
        </w:rPr>
        <w:t>PROFESSIONAL SUMMARY</w:t>
      </w:r>
    </w:p>
    <w:p w14:paraId="75AD6750" w14:textId="77777777" w:rsidR="009D61ED" w:rsidRPr="009D61ED" w:rsidRDefault="009D61ED" w:rsidP="009D61ED">
      <w:pPr>
        <w:numPr>
          <w:ilvl w:val="0"/>
          <w:numId w:val="1"/>
        </w:numPr>
      </w:pPr>
      <w:r w:rsidRPr="009D61ED">
        <w:t>Dynamic clinical research executive with over 15 years driving translational medicine and early-phase trial design in endocrine therapeutics</w:t>
      </w:r>
    </w:p>
    <w:p w14:paraId="18615649" w14:textId="77777777" w:rsidR="009D61ED" w:rsidRPr="009D61ED" w:rsidRDefault="009D61ED" w:rsidP="009D61ED">
      <w:pPr>
        <w:numPr>
          <w:ilvl w:val="0"/>
          <w:numId w:val="1"/>
        </w:numPr>
      </w:pPr>
      <w:r w:rsidRPr="009D61ED">
        <w:t>Expertise in proof-of-concept delivery, clinical strategy development, KOL &amp; regulatory engagement, and end-to-end Phase 0–IV execution</w:t>
      </w:r>
    </w:p>
    <w:p w14:paraId="6937E97C" w14:textId="77777777" w:rsidR="009D61ED" w:rsidRPr="009D61ED" w:rsidRDefault="009D61ED" w:rsidP="009D61ED">
      <w:pPr>
        <w:numPr>
          <w:ilvl w:val="0"/>
          <w:numId w:val="1"/>
        </w:numPr>
      </w:pPr>
      <w:r w:rsidRPr="009D61ED">
        <w:t>Collaborative, highly personable leader known for a can-do attitude and adept at shaping high-performing clinical research functions</w:t>
      </w:r>
    </w:p>
    <w:p w14:paraId="21053861" w14:textId="77777777" w:rsidR="009D61ED" w:rsidRPr="009D61ED" w:rsidRDefault="009D61ED" w:rsidP="009D61ED">
      <w:pPr>
        <w:numPr>
          <w:ilvl w:val="0"/>
          <w:numId w:val="1"/>
        </w:numPr>
      </w:pPr>
      <w:r w:rsidRPr="009D61ED">
        <w:t>Compensation: $420K base</w:t>
      </w:r>
    </w:p>
    <w:p w14:paraId="60509E27" w14:textId="57A58372" w:rsidR="009D61ED" w:rsidRPr="009D61ED" w:rsidRDefault="009D61ED" w:rsidP="009D61ED">
      <w:r w:rsidRPr="009D61ED">
        <w:rPr>
          <w:b/>
          <w:bCs/>
        </w:rPr>
        <w:t>PROFESSIONAL EXPERIENCE</w:t>
      </w:r>
      <w:r w:rsidRPr="009D61ED">
        <w:br/>
      </w:r>
      <w:r>
        <w:rPr>
          <w:b/>
          <w:bCs/>
        </w:rPr>
        <w:t>Confidential</w:t>
      </w:r>
      <w:r w:rsidRPr="009D61ED">
        <w:rPr>
          <w:b/>
          <w:bCs/>
        </w:rPr>
        <w:t xml:space="preserve"> Biotech</w:t>
      </w:r>
      <w:r w:rsidRPr="009D61ED">
        <w:t>, Carlsbad, CA</w:t>
      </w:r>
      <w:r w:rsidRPr="009D61ED">
        <w:br/>
      </w:r>
      <w:r w:rsidRPr="009D61ED">
        <w:rPr>
          <w:i/>
          <w:iCs/>
        </w:rPr>
        <w:t>Vice President, Clinical Research Endocrinology</w:t>
      </w:r>
      <w:r w:rsidRPr="009D61ED">
        <w:t xml:space="preserve"> | Mar 2020 – Present</w:t>
      </w:r>
    </w:p>
    <w:p w14:paraId="0FD031DC" w14:textId="77777777" w:rsidR="009D61ED" w:rsidRPr="009D61ED" w:rsidRDefault="009D61ED" w:rsidP="009D61ED">
      <w:pPr>
        <w:numPr>
          <w:ilvl w:val="0"/>
          <w:numId w:val="2"/>
        </w:numPr>
      </w:pPr>
      <w:r w:rsidRPr="009D61ED">
        <w:t>Led end-to-end clinical strategy for two novel endocrine programs from concept through data lock, designing adaptive proof-of-concept protocols that accelerated POC readouts by 20%. In this capacity, coordinated biomarker integration, global site selection, and statistical planning to ensure robust data capture and efficient decision-making.</w:t>
      </w:r>
    </w:p>
    <w:p w14:paraId="411589C8" w14:textId="77777777" w:rsidR="009D61ED" w:rsidRPr="009D61ED" w:rsidRDefault="009D61ED" w:rsidP="009D61ED">
      <w:pPr>
        <w:numPr>
          <w:ilvl w:val="0"/>
          <w:numId w:val="2"/>
        </w:numPr>
      </w:pPr>
      <w:r w:rsidRPr="009D61ED">
        <w:t xml:space="preserve">Served as deputy to the SVP of Clinical Development, stepping in to make high-level strategic decisions and maintain project momentum in cross-functional steering committees. Aligned Biometrics, Clinical Operations, and Pharmacovigilance teams to meet critical regulatory </w:t>
      </w:r>
      <w:proofErr w:type="gramStart"/>
      <w:r w:rsidRPr="009D61ED">
        <w:t>milestones—</w:t>
      </w:r>
      <w:proofErr w:type="gramEnd"/>
      <w:r w:rsidRPr="009D61ED">
        <w:t>including IND submissions and IMPD approvals—reducing cycle times by 15%.</w:t>
      </w:r>
    </w:p>
    <w:p w14:paraId="725394B8" w14:textId="77777777" w:rsidR="009D61ED" w:rsidRPr="009D61ED" w:rsidRDefault="009D61ED" w:rsidP="009D61ED">
      <w:pPr>
        <w:numPr>
          <w:ilvl w:val="0"/>
          <w:numId w:val="2"/>
        </w:numPr>
      </w:pPr>
      <w:r w:rsidRPr="009D61ED">
        <w:t>Built and mentored an 8-person clinical science team, recruiting top talent in clinical monitoring, data management, and medical writing. Implemented structured training programs, quarterly performance reviews, and mentorship circles, which improved trial start-up timelines by 30% and boosted overall team engagement and retention.</w:t>
      </w:r>
    </w:p>
    <w:p w14:paraId="0B7D5999" w14:textId="77777777" w:rsidR="009D61ED" w:rsidRPr="009D61ED" w:rsidRDefault="009D61ED" w:rsidP="009D61ED">
      <w:pPr>
        <w:numPr>
          <w:ilvl w:val="0"/>
          <w:numId w:val="2"/>
        </w:numPr>
      </w:pPr>
      <w:r w:rsidRPr="009D61ED">
        <w:t>Engaged key opinion leaders (KOLs) and regulatory stakeholders at the FDA and EMA through advisory board meetings and scientific workshops to refine protocol designs. Developed comprehensive briefing documents and facilitated pre-IND and end-of-Phase II meetings, resulting in on-time regulatory approvals with minimal agency comments.</w:t>
      </w:r>
    </w:p>
    <w:p w14:paraId="62E2F4B5" w14:textId="2B1F5B2A" w:rsidR="009D61ED" w:rsidRPr="009D61ED" w:rsidRDefault="009D61ED" w:rsidP="009D61ED">
      <w:r>
        <w:rPr>
          <w:b/>
          <w:bCs/>
        </w:rPr>
        <w:t>Confidential</w:t>
      </w:r>
      <w:r w:rsidRPr="009D61ED">
        <w:rPr>
          <w:b/>
          <w:bCs/>
        </w:rPr>
        <w:t xml:space="preserve"> Pharmaceuticals</w:t>
      </w:r>
      <w:r w:rsidRPr="009D61ED">
        <w:t>, San Diego, CA</w:t>
      </w:r>
      <w:r w:rsidRPr="009D61ED">
        <w:br/>
      </w:r>
      <w:r w:rsidRPr="009D61ED">
        <w:rPr>
          <w:i/>
          <w:iCs/>
        </w:rPr>
        <w:t>Senior Director, Translational Medicine</w:t>
      </w:r>
      <w:r w:rsidRPr="009D61ED">
        <w:t xml:space="preserve"> | Jan 2015 – Feb 2020</w:t>
      </w:r>
    </w:p>
    <w:p w14:paraId="37D2B173" w14:textId="77777777" w:rsidR="009D61ED" w:rsidRPr="009D61ED" w:rsidRDefault="009D61ED" w:rsidP="009D61ED">
      <w:pPr>
        <w:numPr>
          <w:ilvl w:val="0"/>
          <w:numId w:val="3"/>
        </w:numPr>
      </w:pPr>
      <w:r w:rsidRPr="009D61ED">
        <w:t xml:space="preserve">Developed comprehensive translational frameworks that </w:t>
      </w:r>
      <w:proofErr w:type="gramStart"/>
      <w:r w:rsidRPr="009D61ED">
        <w:t>linked</w:t>
      </w:r>
      <w:proofErr w:type="gramEnd"/>
      <w:r w:rsidRPr="009D61ED">
        <w:t xml:space="preserve"> pharmacodynamic biomarker data to clinical efficacy endpoints, ensuring clear go/no-go decision criteria. Partnered with discovery and biomarker teams to validate assay performance, which enabled two Phase II program launches under budget and three months ahead of schedule.</w:t>
      </w:r>
    </w:p>
    <w:p w14:paraId="28EE5F9F" w14:textId="77777777" w:rsidR="009D61ED" w:rsidRPr="009D61ED" w:rsidRDefault="009D61ED" w:rsidP="009D61ED">
      <w:pPr>
        <w:numPr>
          <w:ilvl w:val="0"/>
          <w:numId w:val="3"/>
        </w:numPr>
      </w:pPr>
      <w:r w:rsidRPr="009D61ED">
        <w:lastRenderedPageBreak/>
        <w:t>Coordinated multi-disciplinary teams—including pharmacology, toxicology, and commercial strategy—to define Target Product Profiles (TPPs) and Go/No-Go triggers at key development milestones. Established decision gates and data review processes, directly influencing portfolio prioritization and resource allocation across multiple therapeutic candidates.</w:t>
      </w:r>
    </w:p>
    <w:p w14:paraId="5BD71E3E" w14:textId="77777777" w:rsidR="009D61ED" w:rsidRPr="009D61ED" w:rsidRDefault="009D61ED" w:rsidP="009D61ED">
      <w:pPr>
        <w:numPr>
          <w:ilvl w:val="0"/>
          <w:numId w:val="3"/>
        </w:numPr>
      </w:pPr>
      <w:r w:rsidRPr="009D61ED">
        <w:t>Implemented Bayesian adaptive dose-escalation designs to optimize dose selection, reducing overall patient exposure by 15% without compromising statistical rigor. Collaborated with biostatistics to model safety and efficacy curves and adjust dosing cohorts in real time.</w:t>
      </w:r>
    </w:p>
    <w:p w14:paraId="66B0154D" w14:textId="77777777" w:rsidR="009D61ED" w:rsidRPr="009D61ED" w:rsidRDefault="009D61ED" w:rsidP="009D61ED">
      <w:pPr>
        <w:numPr>
          <w:ilvl w:val="0"/>
          <w:numId w:val="3"/>
        </w:numPr>
      </w:pPr>
      <w:r w:rsidRPr="009D61ED">
        <w:t>Regularly presented detailed clinical development updates, metrics, and risk assessments at investor forums, board meetings, and executive leadership sessions. Crafted persuasive slide decks and narratives that secured continued program funding and stakeholder alignment through clear, data-driven storytelling.</w:t>
      </w:r>
    </w:p>
    <w:p w14:paraId="0C2E1094" w14:textId="18B003BC" w:rsidR="009D61ED" w:rsidRPr="009D61ED" w:rsidRDefault="009D61ED" w:rsidP="009D61ED">
      <w:r>
        <w:rPr>
          <w:b/>
          <w:bCs/>
        </w:rPr>
        <w:t>Confidential</w:t>
      </w:r>
      <w:r w:rsidRPr="009D61ED">
        <w:rPr>
          <w:b/>
          <w:bCs/>
        </w:rPr>
        <w:t xml:space="preserve"> Research</w:t>
      </w:r>
      <w:r w:rsidRPr="009D61ED">
        <w:t>, San Diego, CA</w:t>
      </w:r>
      <w:r w:rsidRPr="009D61ED">
        <w:br/>
      </w:r>
      <w:r w:rsidRPr="009D61ED">
        <w:rPr>
          <w:i/>
          <w:iCs/>
        </w:rPr>
        <w:t>Director, Clinical Operations</w:t>
      </w:r>
      <w:r w:rsidRPr="009D61ED">
        <w:t xml:space="preserve"> | Jun 2010 – Dec 2014</w:t>
      </w:r>
    </w:p>
    <w:p w14:paraId="5E3EBCEE" w14:textId="77777777" w:rsidR="009D61ED" w:rsidRPr="009D61ED" w:rsidRDefault="009D61ED" w:rsidP="009D61ED">
      <w:pPr>
        <w:numPr>
          <w:ilvl w:val="0"/>
          <w:numId w:val="4"/>
        </w:numPr>
      </w:pPr>
      <w:r w:rsidRPr="009D61ED">
        <w:t>Oversaw medical monitoring and safety interpretation for multiple global endocrine trials across Phase I and II, conducting regular safety reviews and interim analyses. Established standardized safety-signal detection processes and reporting templates, improving cross-site consistency and reducing serious adverse event review timelines by 25%.</w:t>
      </w:r>
    </w:p>
    <w:p w14:paraId="27E2D506" w14:textId="77777777" w:rsidR="009D61ED" w:rsidRPr="009D61ED" w:rsidRDefault="009D61ED" w:rsidP="009D61ED">
      <w:pPr>
        <w:numPr>
          <w:ilvl w:val="0"/>
          <w:numId w:val="4"/>
        </w:numPr>
      </w:pPr>
      <w:r w:rsidRPr="009D61ED">
        <w:t>Collaborated closely with Medical Writing and Data Management teams to produce comprehensive clinical study reports, investigator brochures, and safety update documents. Streamlined document review cycles and implemented version control best practices, enabling submission-ready packets to regulatory authorities within accelerated timelines.</w:t>
      </w:r>
    </w:p>
    <w:p w14:paraId="4413037F" w14:textId="77777777" w:rsidR="009D61ED" w:rsidRPr="009D61ED" w:rsidRDefault="009D61ED" w:rsidP="009D61ED">
      <w:pPr>
        <w:numPr>
          <w:ilvl w:val="0"/>
          <w:numId w:val="4"/>
        </w:numPr>
      </w:pPr>
      <w:r w:rsidRPr="009D61ED">
        <w:t>Streamlined cross-functional communication channels between clinical operations, data management, and pharmacovigilance by instituting weekly issue-tracking meetings and shared dashboards. Proactively identified potential risks and coordinated rapid mitigation plans, reducing study deviations and protocol amendments by 20%.</w:t>
      </w:r>
    </w:p>
    <w:p w14:paraId="287A0172" w14:textId="77777777" w:rsidR="009D61ED" w:rsidRPr="009D61ED" w:rsidRDefault="009D61ED" w:rsidP="009D61ED">
      <w:r w:rsidRPr="009D61ED">
        <w:rPr>
          <w:b/>
          <w:bCs/>
        </w:rPr>
        <w:t>EDUCATION</w:t>
      </w:r>
    </w:p>
    <w:p w14:paraId="6B9631E0" w14:textId="77777777" w:rsidR="009D61ED" w:rsidRPr="009D61ED" w:rsidRDefault="009D61ED" w:rsidP="009D61ED">
      <w:pPr>
        <w:numPr>
          <w:ilvl w:val="0"/>
          <w:numId w:val="5"/>
        </w:numPr>
      </w:pPr>
      <w:r w:rsidRPr="009D61ED">
        <w:t>University of California, San Diego MD, Internal Medicine, 2007</w:t>
      </w:r>
    </w:p>
    <w:p w14:paraId="7C0458CE" w14:textId="77777777" w:rsidR="009D61ED" w:rsidRPr="009D61ED" w:rsidRDefault="009D61ED" w:rsidP="009D61ED">
      <w:pPr>
        <w:numPr>
          <w:ilvl w:val="0"/>
          <w:numId w:val="5"/>
        </w:numPr>
      </w:pPr>
      <w:r w:rsidRPr="009D61ED">
        <w:t>State University BS, Biology, Magna Cum Laude, 2003</w:t>
      </w:r>
    </w:p>
    <w:p w14:paraId="4DCFCF8B" w14:textId="77777777" w:rsidR="009D61ED" w:rsidRPr="009D61ED" w:rsidRDefault="009D61ED" w:rsidP="009D61ED">
      <w:r w:rsidRPr="009D61ED">
        <w:rPr>
          <w:b/>
          <w:bCs/>
        </w:rPr>
        <w:t>AWARDS AND ACTIVITIES</w:t>
      </w:r>
    </w:p>
    <w:p w14:paraId="3859F950" w14:textId="77777777" w:rsidR="009D61ED" w:rsidRPr="009D61ED" w:rsidRDefault="009D61ED" w:rsidP="009D61ED">
      <w:pPr>
        <w:numPr>
          <w:ilvl w:val="0"/>
          <w:numId w:val="6"/>
        </w:numPr>
      </w:pPr>
      <w:r w:rsidRPr="009D61ED">
        <w:t>2023 Clinical Trailblazer Award, Endocrine Society</w:t>
      </w:r>
    </w:p>
    <w:p w14:paraId="6EBE4887" w14:textId="77777777" w:rsidR="009D61ED" w:rsidRPr="009D61ED" w:rsidRDefault="009D61ED" w:rsidP="009D61ED">
      <w:pPr>
        <w:numPr>
          <w:ilvl w:val="0"/>
          <w:numId w:val="6"/>
        </w:numPr>
      </w:pPr>
      <w:r w:rsidRPr="009D61ED">
        <w:t>2021 Speaker, Global Translational Medicine Summit</w:t>
      </w:r>
    </w:p>
    <w:p w14:paraId="14F1546A" w14:textId="77777777" w:rsidR="009D61ED" w:rsidRPr="009D61ED" w:rsidRDefault="009D61ED" w:rsidP="009D61ED">
      <w:r w:rsidRPr="009D61ED">
        <w:rPr>
          <w:b/>
          <w:bCs/>
        </w:rPr>
        <w:t>LANGUAGES</w:t>
      </w:r>
    </w:p>
    <w:p w14:paraId="0940133E" w14:textId="77777777" w:rsidR="009D61ED" w:rsidRPr="009D61ED" w:rsidRDefault="009D61ED" w:rsidP="009D61ED">
      <w:pPr>
        <w:numPr>
          <w:ilvl w:val="0"/>
          <w:numId w:val="7"/>
        </w:numPr>
      </w:pPr>
      <w:r w:rsidRPr="009D61ED">
        <w:t>Native English; Conversational Spanish</w:t>
      </w:r>
    </w:p>
    <w:p w14:paraId="7A2EF5DB" w14:textId="77777777" w:rsidR="009D61ED" w:rsidRPr="009D61ED" w:rsidRDefault="009D61ED" w:rsidP="009D61ED">
      <w:r w:rsidRPr="009D61ED">
        <w:rPr>
          <w:b/>
          <w:bCs/>
        </w:rPr>
        <w:t>SKILLS</w:t>
      </w:r>
      <w:r w:rsidRPr="009D61ED">
        <w:br/>
        <w:t>Translational Medicine • Adaptive Trial Design • Regulatory Strategy • Team Leadership</w:t>
      </w:r>
    </w:p>
    <w:p w14:paraId="568C73EC" w14:textId="77777777" w:rsidR="003E5CA4" w:rsidRDefault="003E5CA4"/>
    <w:sectPr w:rsidR="003E5CA4" w:rsidSect="009D61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EDE"/>
    <w:multiLevelType w:val="multilevel"/>
    <w:tmpl w:val="6E7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46F1"/>
    <w:multiLevelType w:val="multilevel"/>
    <w:tmpl w:val="C0F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F6894"/>
    <w:multiLevelType w:val="multilevel"/>
    <w:tmpl w:val="905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A3A03"/>
    <w:multiLevelType w:val="multilevel"/>
    <w:tmpl w:val="904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D3CA8"/>
    <w:multiLevelType w:val="multilevel"/>
    <w:tmpl w:val="5A9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44E86"/>
    <w:multiLevelType w:val="multilevel"/>
    <w:tmpl w:val="656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72130"/>
    <w:multiLevelType w:val="multilevel"/>
    <w:tmpl w:val="EEA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448683">
    <w:abstractNumId w:val="3"/>
  </w:num>
  <w:num w:numId="2" w16cid:durableId="2030257720">
    <w:abstractNumId w:val="5"/>
  </w:num>
  <w:num w:numId="3" w16cid:durableId="1020400229">
    <w:abstractNumId w:val="1"/>
  </w:num>
  <w:num w:numId="4" w16cid:durableId="526529583">
    <w:abstractNumId w:val="4"/>
  </w:num>
  <w:num w:numId="5" w16cid:durableId="706414164">
    <w:abstractNumId w:val="2"/>
  </w:num>
  <w:num w:numId="6" w16cid:durableId="2008550760">
    <w:abstractNumId w:val="6"/>
  </w:num>
  <w:num w:numId="7" w16cid:durableId="42442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ED"/>
    <w:rsid w:val="001D4820"/>
    <w:rsid w:val="003E5CA4"/>
    <w:rsid w:val="009D61ED"/>
    <w:rsid w:val="00B727B8"/>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6DCB6"/>
  <w15:chartTrackingRefBased/>
  <w15:docId w15:val="{AC99C074-8267-457F-AC35-E79B2381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1ED"/>
    <w:rPr>
      <w:rFonts w:eastAsiaTheme="majorEastAsia" w:cstheme="majorBidi"/>
      <w:color w:val="272727" w:themeColor="text1" w:themeTint="D8"/>
    </w:rPr>
  </w:style>
  <w:style w:type="paragraph" w:styleId="Title">
    <w:name w:val="Title"/>
    <w:basedOn w:val="Normal"/>
    <w:next w:val="Normal"/>
    <w:link w:val="TitleChar"/>
    <w:uiPriority w:val="10"/>
    <w:qFormat/>
    <w:rsid w:val="009D6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1ED"/>
    <w:pPr>
      <w:spacing w:before="160"/>
      <w:jc w:val="center"/>
    </w:pPr>
    <w:rPr>
      <w:i/>
      <w:iCs/>
      <w:color w:val="404040" w:themeColor="text1" w:themeTint="BF"/>
    </w:rPr>
  </w:style>
  <w:style w:type="character" w:customStyle="1" w:styleId="QuoteChar">
    <w:name w:val="Quote Char"/>
    <w:basedOn w:val="DefaultParagraphFont"/>
    <w:link w:val="Quote"/>
    <w:uiPriority w:val="29"/>
    <w:rsid w:val="009D61ED"/>
    <w:rPr>
      <w:i/>
      <w:iCs/>
      <w:color w:val="404040" w:themeColor="text1" w:themeTint="BF"/>
    </w:rPr>
  </w:style>
  <w:style w:type="paragraph" w:styleId="ListParagraph">
    <w:name w:val="List Paragraph"/>
    <w:basedOn w:val="Normal"/>
    <w:uiPriority w:val="34"/>
    <w:qFormat/>
    <w:rsid w:val="009D61ED"/>
    <w:pPr>
      <w:ind w:left="720"/>
      <w:contextualSpacing/>
    </w:pPr>
  </w:style>
  <w:style w:type="character" w:styleId="IntenseEmphasis">
    <w:name w:val="Intense Emphasis"/>
    <w:basedOn w:val="DefaultParagraphFont"/>
    <w:uiPriority w:val="21"/>
    <w:qFormat/>
    <w:rsid w:val="009D61ED"/>
    <w:rPr>
      <w:i/>
      <w:iCs/>
      <w:color w:val="0F4761" w:themeColor="accent1" w:themeShade="BF"/>
    </w:rPr>
  </w:style>
  <w:style w:type="paragraph" w:styleId="IntenseQuote">
    <w:name w:val="Intense Quote"/>
    <w:basedOn w:val="Normal"/>
    <w:next w:val="Normal"/>
    <w:link w:val="IntenseQuoteChar"/>
    <w:uiPriority w:val="30"/>
    <w:qFormat/>
    <w:rsid w:val="009D6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1ED"/>
    <w:rPr>
      <w:i/>
      <w:iCs/>
      <w:color w:val="0F4761" w:themeColor="accent1" w:themeShade="BF"/>
    </w:rPr>
  </w:style>
  <w:style w:type="character" w:styleId="IntenseReference">
    <w:name w:val="Intense Reference"/>
    <w:basedOn w:val="DefaultParagraphFont"/>
    <w:uiPriority w:val="32"/>
    <w:qFormat/>
    <w:rsid w:val="009D61ED"/>
    <w:rPr>
      <w:b/>
      <w:bCs/>
      <w:smallCaps/>
      <w:color w:val="0F4761" w:themeColor="accent1" w:themeShade="BF"/>
      <w:spacing w:val="5"/>
    </w:rPr>
  </w:style>
  <w:style w:type="character" w:styleId="Hyperlink">
    <w:name w:val="Hyperlink"/>
    <w:basedOn w:val="DefaultParagraphFont"/>
    <w:uiPriority w:val="99"/>
    <w:unhideWhenUsed/>
    <w:rsid w:val="009D61ED"/>
    <w:rPr>
      <w:color w:val="467886" w:themeColor="hyperlink"/>
      <w:u w:val="single"/>
    </w:rPr>
  </w:style>
  <w:style w:type="character" w:styleId="UnresolvedMention">
    <w:name w:val="Unresolved Mention"/>
    <w:basedOn w:val="DefaultParagraphFont"/>
    <w:uiPriority w:val="99"/>
    <w:semiHidden/>
    <w:unhideWhenUsed/>
    <w:rsid w:val="009D6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002285">
      <w:bodyDiv w:val="1"/>
      <w:marLeft w:val="0"/>
      <w:marRight w:val="0"/>
      <w:marTop w:val="0"/>
      <w:marBottom w:val="0"/>
      <w:divBdr>
        <w:top w:val="none" w:sz="0" w:space="0" w:color="auto"/>
        <w:left w:val="none" w:sz="0" w:space="0" w:color="auto"/>
        <w:bottom w:val="none" w:sz="0" w:space="0" w:color="auto"/>
        <w:right w:val="none" w:sz="0" w:space="0" w:color="auto"/>
      </w:divBdr>
    </w:div>
    <w:div w:id="189157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603</Words>
  <Characters>4266</Characters>
  <Application>Microsoft Office Word</Application>
  <DocSecurity>0</DocSecurity>
  <Lines>71</Lines>
  <Paragraphs>32</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2025-08-05T20:25:00Z</dcterms:created>
  <dcterms:modified xsi:type="dcterms:W3CDTF">2025-08-05T20:29:00Z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9d6cf452-c204-4d07-8ada-c0bd0d19c978</vt:lpwstr>
  </property>
</Properties>
</file>