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9D21A" w14:textId="0926593B" w:rsidR="00D86E18" w:rsidRDefault="00D86E18" w:rsidP="00D86E18">
      <w:pPr>
        <w:jc w:val="center"/>
      </w:pPr>
      <w:r w:rsidRPr="00D86E18">
        <w:rPr>
          <w:b/>
          <w:bCs/>
        </w:rPr>
        <w:t>Confidential Candidate 2</w:t>
      </w:r>
    </w:p>
    <w:p w14:paraId="068B50E1" w14:textId="542E23F5" w:rsidR="00D86E18" w:rsidRPr="00D86E18" w:rsidRDefault="00D86E18" w:rsidP="00D86E18">
      <w:pPr>
        <w:jc w:val="center"/>
        <w:rPr>
          <w:b/>
          <w:bCs/>
        </w:rPr>
      </w:pPr>
      <w:r w:rsidRPr="00D86E18">
        <w:t>Central New Jersey | Open to $340K+ compensation</w:t>
      </w:r>
    </w:p>
    <w:p w14:paraId="29AA8BB3" w14:textId="77777777" w:rsidR="00D86E18" w:rsidRPr="00D86E18" w:rsidRDefault="00D86E18" w:rsidP="00D86E18">
      <w:pPr>
        <w:rPr>
          <w:b/>
          <w:bCs/>
        </w:rPr>
      </w:pPr>
      <w:r w:rsidRPr="00D86E18">
        <w:rPr>
          <w:b/>
          <w:bCs/>
        </w:rPr>
        <w:t>PROFESSIONAL SUMMARY</w:t>
      </w:r>
    </w:p>
    <w:p w14:paraId="0EBE2234" w14:textId="77777777" w:rsidR="00D86E18" w:rsidRPr="00D86E18" w:rsidRDefault="00D86E18" w:rsidP="00D86E18">
      <w:pPr>
        <w:numPr>
          <w:ilvl w:val="0"/>
          <w:numId w:val="1"/>
        </w:numPr>
      </w:pPr>
      <w:r w:rsidRPr="00D86E18">
        <w:t xml:space="preserve">Dual-degree physician-scientist with 10+ years expertise in cell therapy pharmacovigilance and regulatory submissions within Big Pharma </w:t>
      </w:r>
      <w:proofErr w:type="gramStart"/>
      <w:r w:rsidRPr="00D86E18">
        <w:t>oncology</w:t>
      </w:r>
      <w:proofErr w:type="gramEnd"/>
      <w:r w:rsidRPr="00D86E18">
        <w:t xml:space="preserve"> divisions</w:t>
      </w:r>
    </w:p>
    <w:p w14:paraId="2F32E601" w14:textId="77777777" w:rsidR="00D86E18" w:rsidRPr="00D86E18" w:rsidRDefault="00D86E18" w:rsidP="00D86E18">
      <w:pPr>
        <w:numPr>
          <w:ilvl w:val="0"/>
          <w:numId w:val="1"/>
        </w:numPr>
      </w:pPr>
      <w:r w:rsidRPr="00D86E18">
        <w:t>Strategic leader specializing in immunotherapy safety signal management, cross-functional team development, and complex regulatory interactions</w:t>
      </w:r>
    </w:p>
    <w:p w14:paraId="4EAE8848" w14:textId="77777777" w:rsidR="00D86E18" w:rsidRPr="00D86E18" w:rsidRDefault="00D86E18" w:rsidP="00D86E18">
      <w:pPr>
        <w:numPr>
          <w:ilvl w:val="0"/>
          <w:numId w:val="1"/>
        </w:numPr>
      </w:pPr>
      <w:r w:rsidRPr="00D86E18">
        <w:t>Proven track record navigating challenging safety profiles under high-pressure regulatory timelines while maintaining calm, decisive leadership</w:t>
      </w:r>
    </w:p>
    <w:p w14:paraId="18AF1CC8" w14:textId="77777777" w:rsidR="00D86E18" w:rsidRPr="00D86E18" w:rsidRDefault="00D86E18" w:rsidP="00D86E18">
      <w:pPr>
        <w:rPr>
          <w:b/>
          <w:bCs/>
        </w:rPr>
      </w:pPr>
      <w:r w:rsidRPr="00D86E18">
        <w:rPr>
          <w:b/>
          <w:bCs/>
        </w:rPr>
        <w:t>PROFESSIONAL EXPERIENCE</w:t>
      </w:r>
    </w:p>
    <w:p w14:paraId="382B6612" w14:textId="77777777" w:rsidR="00D86E18" w:rsidRDefault="00D86E18" w:rsidP="00D86E18">
      <w:r w:rsidRPr="00D86E18">
        <w:rPr>
          <w:b/>
          <w:bCs/>
        </w:rPr>
        <w:t>Bristol Myers Squibb Oncology Division</w:t>
      </w:r>
      <w:r w:rsidRPr="00D86E18">
        <w:t xml:space="preserve"> January 2019 - Present </w:t>
      </w:r>
    </w:p>
    <w:p w14:paraId="10EFEA58" w14:textId="50ADD75A" w:rsidR="00D86E18" w:rsidRPr="00D86E18" w:rsidRDefault="00D86E18" w:rsidP="00D86E18">
      <w:r w:rsidRPr="00D86E18">
        <w:rPr>
          <w:b/>
          <w:bCs/>
        </w:rPr>
        <w:t>Senior Medical Director, Cell Therapy Safety</w:t>
      </w:r>
    </w:p>
    <w:p w14:paraId="5EFDE298" w14:textId="77777777" w:rsidR="00D86E18" w:rsidRPr="00D86E18" w:rsidRDefault="00D86E18" w:rsidP="00D86E18">
      <w:pPr>
        <w:numPr>
          <w:ilvl w:val="0"/>
          <w:numId w:val="2"/>
        </w:numPr>
      </w:pPr>
      <w:r w:rsidRPr="00D86E18">
        <w:t>Lead comprehensive global pharmacovigilance strategy for $2B+ CAR-T portfolio including 4 marketed products and 8 investigational programs, overseeing safety surveillance across 45 countries, managing post-marketing safety commitments, and directing risk evaluation and mitigation strategies while ensuring consistent safety messaging across all therapeutic programs</w:t>
      </w:r>
    </w:p>
    <w:p w14:paraId="4CEADD00" w14:textId="77777777" w:rsidR="00D86E18" w:rsidRPr="00D86E18" w:rsidRDefault="00D86E18" w:rsidP="00D86E18">
      <w:pPr>
        <w:numPr>
          <w:ilvl w:val="0"/>
          <w:numId w:val="2"/>
        </w:numPr>
      </w:pPr>
      <w:r w:rsidRPr="00D86E18">
        <w:t xml:space="preserve">Established </w:t>
      </w:r>
      <w:proofErr w:type="gramStart"/>
      <w:r w:rsidRPr="00D86E18">
        <w:t>industry</w:t>
      </w:r>
      <w:proofErr w:type="gramEnd"/>
      <w:r w:rsidRPr="00D86E18">
        <w:t>-leading risk management framework incorporating predictive safety modeling, enhanced pharmacovigilance protocols, and proactive risk mitigation strategies that reduced safety-related regulatory holds by 60% across cell therapy division while maintaining patient access to life-saving therapies</w:t>
      </w:r>
    </w:p>
    <w:p w14:paraId="692D2589" w14:textId="77777777" w:rsidR="00D86E18" w:rsidRPr="00D86E18" w:rsidRDefault="00D86E18" w:rsidP="00D86E18">
      <w:pPr>
        <w:numPr>
          <w:ilvl w:val="0"/>
          <w:numId w:val="2"/>
        </w:numPr>
      </w:pPr>
      <w:r w:rsidRPr="00D86E18">
        <w:t>Direct comprehensive safety operations team of 12 professionals including medical reviewers, safety scientists, and data managers, managing processing and medical review of 500+ adverse events monthly across global markets while ensuring 100% compliance with expedited reporting timelines and regulatory quality standards</w:t>
      </w:r>
    </w:p>
    <w:p w14:paraId="0405DF20" w14:textId="77777777" w:rsidR="00D86E18" w:rsidRPr="00D86E18" w:rsidRDefault="00D86E18" w:rsidP="00D86E18">
      <w:pPr>
        <w:numPr>
          <w:ilvl w:val="0"/>
          <w:numId w:val="2"/>
        </w:numPr>
      </w:pPr>
      <w:r w:rsidRPr="00D86E18">
        <w:t>Successfully defended complex Cytokine Release Syndrome safety profile in high-stakes FDA/EMA advisory committee meetings, presenting compelling risk-benefit analyses, real-world safety data, and risk mitigation strategies that secured unanimous committee recommendations for product approvals and label updates</w:t>
      </w:r>
    </w:p>
    <w:p w14:paraId="704D86BE" w14:textId="77777777" w:rsidR="00D86E18" w:rsidRPr="00D86E18" w:rsidRDefault="00D86E18" w:rsidP="00D86E18">
      <w:pPr>
        <w:numPr>
          <w:ilvl w:val="0"/>
          <w:numId w:val="2"/>
        </w:numPr>
      </w:pPr>
      <w:r w:rsidRPr="00D86E18">
        <w:t>Authored and coordinated submission of 40+ critical regulatory submissions including biologics license applications, post-marketing commitment reports, periodic benefit-risk evaluation reports, and comprehensive responses to regulatory inquiries while meeting 100</w:t>
      </w:r>
      <w:proofErr w:type="gramStart"/>
      <w:r w:rsidRPr="00D86E18">
        <w:t>% of</w:t>
      </w:r>
      <w:proofErr w:type="gramEnd"/>
      <w:r w:rsidRPr="00D86E18">
        <w:t xml:space="preserve"> regulatory deadlines</w:t>
      </w:r>
    </w:p>
    <w:p w14:paraId="69372919" w14:textId="77777777" w:rsidR="00D86E18" w:rsidRPr="00D86E18" w:rsidRDefault="00D86E18" w:rsidP="00D86E18">
      <w:pPr>
        <w:numPr>
          <w:ilvl w:val="0"/>
          <w:numId w:val="2"/>
        </w:numPr>
      </w:pPr>
      <w:r w:rsidRPr="00D86E18">
        <w:t>Built strategic partnerships with leading key opinion leaders and academic safety experts, establishing external safety advisory board, conducting investigator safety training programs, and enhancing external safety monitoring capabilities for complex immunotherapy safety profiles</w:t>
      </w:r>
    </w:p>
    <w:p w14:paraId="04308A83" w14:textId="77777777" w:rsidR="00D86E18" w:rsidRPr="00D86E18" w:rsidRDefault="00D86E18" w:rsidP="00D86E18">
      <w:pPr>
        <w:numPr>
          <w:ilvl w:val="0"/>
          <w:numId w:val="2"/>
        </w:numPr>
      </w:pPr>
      <w:r w:rsidRPr="00D86E18">
        <w:lastRenderedPageBreak/>
        <w:t>Led cross-functional crisis management during high-visibility 2022 manufacturing-related safety investigation, coordinating with quality assurance, regulatory affairs, medical affairs, and commercial teams to maintain patient safety while preserving commercial operations and preventing supply disruptions</w:t>
      </w:r>
    </w:p>
    <w:p w14:paraId="553E82AE" w14:textId="77777777" w:rsidR="00D86E18" w:rsidRPr="00D86E18" w:rsidRDefault="00D86E18" w:rsidP="00D86E18">
      <w:pPr>
        <w:numPr>
          <w:ilvl w:val="0"/>
          <w:numId w:val="2"/>
        </w:numPr>
      </w:pPr>
      <w:r w:rsidRPr="00D86E18">
        <w:t>Developed and implemented advanced safety signal detection methodologies incorporating artificial intelligence, natural language processing, and real-world evidence analysis, improving signal detection sensitivity by 45% while reducing false positive rates by 30%</w:t>
      </w:r>
    </w:p>
    <w:p w14:paraId="538A37B4" w14:textId="77777777" w:rsidR="00D86E18" w:rsidRDefault="00D86E18" w:rsidP="00D86E18">
      <w:r w:rsidRPr="00D86E18">
        <w:rPr>
          <w:b/>
          <w:bCs/>
        </w:rPr>
        <w:t>Novartis Oncology</w:t>
      </w:r>
      <w:r w:rsidRPr="00D86E18">
        <w:t xml:space="preserve"> February 2015 - December 2018 </w:t>
      </w:r>
    </w:p>
    <w:p w14:paraId="0BDA4C4D" w14:textId="77777777" w:rsidR="00D86E18" w:rsidRDefault="00D86E18" w:rsidP="00D86E18">
      <w:r w:rsidRPr="00D86E18">
        <w:rPr>
          <w:b/>
          <w:bCs/>
        </w:rPr>
        <w:t>Medical Director, Immunotherapy Safety</w:t>
      </w:r>
      <w:r w:rsidRPr="00D86E18">
        <w:t xml:space="preserve"> March 2017 - December 2018 </w:t>
      </w:r>
    </w:p>
    <w:p w14:paraId="5A2824CD" w14:textId="7887C695" w:rsidR="00D86E18" w:rsidRPr="00D86E18" w:rsidRDefault="00D86E18" w:rsidP="00D86E18">
      <w:r w:rsidRPr="00D86E18">
        <w:rPr>
          <w:b/>
          <w:bCs/>
        </w:rPr>
        <w:t>Associate Medical Director, Pharmacovigilance</w:t>
      </w:r>
      <w:r w:rsidRPr="00D86E18">
        <w:t xml:space="preserve"> February 2015 - February 2017</w:t>
      </w:r>
    </w:p>
    <w:p w14:paraId="5118B346" w14:textId="77777777" w:rsidR="00D86E18" w:rsidRPr="00D86E18" w:rsidRDefault="00D86E18" w:rsidP="00D86E18">
      <w:pPr>
        <w:numPr>
          <w:ilvl w:val="0"/>
          <w:numId w:val="3"/>
        </w:numPr>
      </w:pPr>
      <w:r w:rsidRPr="00D86E18">
        <w:t>Managed comprehensive end-to-end safety oversight for first-in-class CAR-T therapy from Phase I dose escalation through global commercial launch, coordinating safety activities across clinical development, regulatory affairs, manufacturing, and commercial teams while ensuring patient safety throughout all development phases</w:t>
      </w:r>
    </w:p>
    <w:p w14:paraId="3BA2665D" w14:textId="77777777" w:rsidR="00D86E18" w:rsidRPr="00D86E18" w:rsidRDefault="00D86E18" w:rsidP="00D86E18">
      <w:pPr>
        <w:numPr>
          <w:ilvl w:val="0"/>
          <w:numId w:val="3"/>
        </w:numPr>
      </w:pPr>
      <w:r w:rsidRPr="00D86E18">
        <w:t>Developed innovative predictive safety models utilizing machine learning algorithms and real-world evidence data sources, successfully reducing unexpected serious adverse events by 25% through proactive risk identification and enhanced patient monitoring protocols</w:t>
      </w:r>
    </w:p>
    <w:p w14:paraId="603DC0C5" w14:textId="77777777" w:rsidR="00D86E18" w:rsidRPr="00D86E18" w:rsidRDefault="00D86E18" w:rsidP="00D86E18">
      <w:pPr>
        <w:numPr>
          <w:ilvl w:val="0"/>
          <w:numId w:val="3"/>
        </w:numPr>
      </w:pPr>
      <w:r w:rsidRPr="00D86E18">
        <w:t>Led complex global harmonization initiative for safety data collection standards across 15 countries and 200+ clinical sites, developing standardized adverse event collection forms, training materials, and quality assurance procedures that improved data quality scores by 40% across all international studies</w:t>
      </w:r>
    </w:p>
    <w:p w14:paraId="3C192E3E" w14:textId="77777777" w:rsidR="00D86E18" w:rsidRPr="00D86E18" w:rsidRDefault="00D86E18" w:rsidP="00D86E18">
      <w:pPr>
        <w:numPr>
          <w:ilvl w:val="0"/>
          <w:numId w:val="3"/>
        </w:numPr>
      </w:pPr>
      <w:r w:rsidRPr="00D86E18">
        <w:t>Conducted comprehensive safety reviews and risk-benefit analyses supporting 3 successful regulatory approvals in US, EU, and Japan, including preparation of integrated safety summaries, risk management plans, and responses to regulatory questions during review cycles</w:t>
      </w:r>
    </w:p>
    <w:p w14:paraId="2D0FD0D9" w14:textId="77777777" w:rsidR="00D86E18" w:rsidRPr="00D86E18" w:rsidRDefault="00D86E18" w:rsidP="00D86E18">
      <w:pPr>
        <w:numPr>
          <w:ilvl w:val="0"/>
          <w:numId w:val="3"/>
        </w:numPr>
      </w:pPr>
      <w:r w:rsidRPr="00D86E18">
        <w:t xml:space="preserve">Mentored team of 6 junior safety physicians and clinical scientists while establishing </w:t>
      </w:r>
      <w:proofErr w:type="gramStart"/>
      <w:r w:rsidRPr="00D86E18">
        <w:t>company's</w:t>
      </w:r>
      <w:proofErr w:type="gramEnd"/>
      <w:r w:rsidRPr="00D86E18">
        <w:t xml:space="preserve"> comprehensive pharmacovigilance training curriculum, developing competency assessments, and creating career development pathways that resulted in 90% team retention rate</w:t>
      </w:r>
    </w:p>
    <w:p w14:paraId="52CBE3E1" w14:textId="77777777" w:rsidR="00D86E18" w:rsidRPr="00D86E18" w:rsidRDefault="00D86E18" w:rsidP="00D86E18">
      <w:pPr>
        <w:numPr>
          <w:ilvl w:val="0"/>
          <w:numId w:val="3"/>
        </w:numPr>
      </w:pPr>
      <w:r w:rsidRPr="00D86E18">
        <w:t>Represented company as primary safety expert at 15+ international safety conferences and regulatory agency meetings, presenting complex safety data, participating in regulatory working groups, and contributing to industry safety guidelines development</w:t>
      </w:r>
    </w:p>
    <w:p w14:paraId="72F220C7" w14:textId="77777777" w:rsidR="00D86E18" w:rsidRPr="00D86E18" w:rsidRDefault="00D86E18" w:rsidP="00D86E18">
      <w:pPr>
        <w:numPr>
          <w:ilvl w:val="0"/>
          <w:numId w:val="3"/>
        </w:numPr>
      </w:pPr>
      <w:r w:rsidRPr="00D86E18">
        <w:t>Designed and implemented comprehensive safety communication strategies for healthcare providers and patients, developing risk evaluation and mitigation strategies, patient/prescriber education materials, and safety monitoring tools that enhanced safe product utilization</w:t>
      </w:r>
    </w:p>
    <w:p w14:paraId="4DE05DAA" w14:textId="77777777" w:rsidR="00D86E18" w:rsidRPr="00D86E18" w:rsidRDefault="00D86E18" w:rsidP="00D86E18">
      <w:pPr>
        <w:numPr>
          <w:ilvl w:val="0"/>
          <w:numId w:val="3"/>
        </w:numPr>
      </w:pPr>
      <w:r w:rsidRPr="00D86E18">
        <w:t xml:space="preserve">Collaborated with biostatistics and data science teams on advanced safety analytics including time-to-event analyses, exposure-adjusted incidence rate calculations, and comparative safety </w:t>
      </w:r>
      <w:r w:rsidRPr="00D86E18">
        <w:lastRenderedPageBreak/>
        <w:t>assessments, contributing to 5 successful regulatory submissions and 2 FDA breakthrough therapy designations</w:t>
      </w:r>
    </w:p>
    <w:p w14:paraId="337627D6" w14:textId="77777777" w:rsidR="00D86E18" w:rsidRPr="00D86E18" w:rsidRDefault="00D86E18" w:rsidP="00D86E18">
      <w:pPr>
        <w:rPr>
          <w:b/>
          <w:bCs/>
        </w:rPr>
      </w:pPr>
      <w:r w:rsidRPr="00D86E18">
        <w:rPr>
          <w:b/>
          <w:bCs/>
        </w:rPr>
        <w:t>EDUCATION</w:t>
      </w:r>
    </w:p>
    <w:p w14:paraId="56E317DB" w14:textId="77777777" w:rsidR="00D86E18" w:rsidRPr="00D86E18" w:rsidRDefault="00D86E18" w:rsidP="00D86E18">
      <w:r w:rsidRPr="00D86E18">
        <w:rPr>
          <w:b/>
          <w:bCs/>
        </w:rPr>
        <w:t>Harvard Medical School</w:t>
      </w:r>
      <w:r w:rsidRPr="00D86E18">
        <w:t>, 2012 Doctor of Medicine (MD)</w:t>
      </w:r>
    </w:p>
    <w:p w14:paraId="6117019A" w14:textId="77777777" w:rsidR="00D86E18" w:rsidRPr="00D86E18" w:rsidRDefault="00D86E18" w:rsidP="00D86E18">
      <w:r w:rsidRPr="00D86E18">
        <w:rPr>
          <w:b/>
          <w:bCs/>
        </w:rPr>
        <w:t>Massachusetts Institute of Technology</w:t>
      </w:r>
      <w:r w:rsidRPr="00D86E18">
        <w:t>, 2010 Doctor of Philosophy (PhD) in Immunology</w:t>
      </w:r>
    </w:p>
    <w:p w14:paraId="4AA55101" w14:textId="77777777" w:rsidR="00D86E18" w:rsidRPr="00D86E18" w:rsidRDefault="00D86E18" w:rsidP="00D86E18">
      <w:r w:rsidRPr="00D86E18">
        <w:rPr>
          <w:b/>
          <w:bCs/>
        </w:rPr>
        <w:t>Stanford University</w:t>
      </w:r>
      <w:r w:rsidRPr="00D86E18">
        <w:t>, 2006 Bachelor of Science in Biology, Summa Cum Laude</w:t>
      </w:r>
    </w:p>
    <w:p w14:paraId="432167F5" w14:textId="77777777" w:rsidR="00D86E18" w:rsidRPr="00D86E18" w:rsidRDefault="00D86E18" w:rsidP="00D86E18">
      <w:pPr>
        <w:rPr>
          <w:b/>
          <w:bCs/>
        </w:rPr>
      </w:pPr>
      <w:r w:rsidRPr="00D86E18">
        <w:rPr>
          <w:b/>
          <w:bCs/>
        </w:rPr>
        <w:t>AWARDS AND ACTIVITIES</w:t>
      </w:r>
    </w:p>
    <w:p w14:paraId="394BF428" w14:textId="77777777" w:rsidR="00D86E18" w:rsidRDefault="00D86E18" w:rsidP="00D86E18">
      <w:r w:rsidRPr="00D86E18">
        <w:t xml:space="preserve">2024 Industry Leadership Award, International Society of Pharmacovigilance </w:t>
      </w:r>
    </w:p>
    <w:p w14:paraId="5609D9DE" w14:textId="77777777" w:rsidR="00D86E18" w:rsidRDefault="00D86E18" w:rsidP="00D86E18">
      <w:r w:rsidRPr="00D86E18">
        <w:t xml:space="preserve">2023 Keynote Speaker, European Medicines Agency CAR-T Safety Workshop </w:t>
      </w:r>
    </w:p>
    <w:p w14:paraId="0F081FC8" w14:textId="77777777" w:rsidR="00D86E18" w:rsidRDefault="00D86E18" w:rsidP="00D86E18">
      <w:r w:rsidRPr="00D86E18">
        <w:t xml:space="preserve">2022 Bristol Myers Squibb Chairman's Award for Patient Safety Excellence </w:t>
      </w:r>
    </w:p>
    <w:p w14:paraId="739DFE9D" w14:textId="52F7FF40" w:rsidR="00D86E18" w:rsidRPr="00D86E18" w:rsidRDefault="00D86E18" w:rsidP="00D86E18">
      <w:r w:rsidRPr="00D86E18">
        <w:t>2021 FDA Collaboration Recognition for Immunotherapy Safety Guidelines Development</w:t>
      </w:r>
    </w:p>
    <w:p w14:paraId="6A8683D9" w14:textId="77777777" w:rsidR="003E5CA4" w:rsidRDefault="003E5CA4"/>
    <w:sectPr w:rsidR="003E5CA4" w:rsidSect="00D86E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278E2"/>
    <w:multiLevelType w:val="multilevel"/>
    <w:tmpl w:val="99B6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35DCF"/>
    <w:multiLevelType w:val="multilevel"/>
    <w:tmpl w:val="291E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668F9"/>
    <w:multiLevelType w:val="multilevel"/>
    <w:tmpl w:val="DF46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499662">
    <w:abstractNumId w:val="1"/>
  </w:num>
  <w:num w:numId="2" w16cid:durableId="609045086">
    <w:abstractNumId w:val="0"/>
  </w:num>
  <w:num w:numId="3" w16cid:durableId="1226456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E18"/>
    <w:rsid w:val="001D4820"/>
    <w:rsid w:val="003E5CA4"/>
    <w:rsid w:val="00CA2E6D"/>
    <w:rsid w:val="00CA78F8"/>
    <w:rsid w:val="00D86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FD4540"/>
  <w15:chartTrackingRefBased/>
  <w15:docId w15:val="{61297EB8-7D88-494A-904A-C018AD9FE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E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E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E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E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E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E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E18"/>
    <w:rPr>
      <w:rFonts w:eastAsiaTheme="majorEastAsia" w:cstheme="majorBidi"/>
      <w:color w:val="272727" w:themeColor="text1" w:themeTint="D8"/>
    </w:rPr>
  </w:style>
  <w:style w:type="paragraph" w:styleId="Title">
    <w:name w:val="Title"/>
    <w:basedOn w:val="Normal"/>
    <w:next w:val="Normal"/>
    <w:link w:val="TitleChar"/>
    <w:uiPriority w:val="10"/>
    <w:qFormat/>
    <w:rsid w:val="00D86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E18"/>
    <w:pPr>
      <w:spacing w:before="160"/>
      <w:jc w:val="center"/>
    </w:pPr>
    <w:rPr>
      <w:i/>
      <w:iCs/>
      <w:color w:val="404040" w:themeColor="text1" w:themeTint="BF"/>
    </w:rPr>
  </w:style>
  <w:style w:type="character" w:customStyle="1" w:styleId="QuoteChar">
    <w:name w:val="Quote Char"/>
    <w:basedOn w:val="DefaultParagraphFont"/>
    <w:link w:val="Quote"/>
    <w:uiPriority w:val="29"/>
    <w:rsid w:val="00D86E18"/>
    <w:rPr>
      <w:i/>
      <w:iCs/>
      <w:color w:val="404040" w:themeColor="text1" w:themeTint="BF"/>
    </w:rPr>
  </w:style>
  <w:style w:type="paragraph" w:styleId="ListParagraph">
    <w:name w:val="List Paragraph"/>
    <w:basedOn w:val="Normal"/>
    <w:uiPriority w:val="34"/>
    <w:qFormat/>
    <w:rsid w:val="00D86E18"/>
    <w:pPr>
      <w:ind w:left="720"/>
      <w:contextualSpacing/>
    </w:pPr>
  </w:style>
  <w:style w:type="character" w:styleId="IntenseEmphasis">
    <w:name w:val="Intense Emphasis"/>
    <w:basedOn w:val="DefaultParagraphFont"/>
    <w:uiPriority w:val="21"/>
    <w:qFormat/>
    <w:rsid w:val="00D86E18"/>
    <w:rPr>
      <w:i/>
      <w:iCs/>
      <w:color w:val="0F4761" w:themeColor="accent1" w:themeShade="BF"/>
    </w:rPr>
  </w:style>
  <w:style w:type="paragraph" w:styleId="IntenseQuote">
    <w:name w:val="Intense Quote"/>
    <w:basedOn w:val="Normal"/>
    <w:next w:val="Normal"/>
    <w:link w:val="IntenseQuoteChar"/>
    <w:uiPriority w:val="30"/>
    <w:qFormat/>
    <w:rsid w:val="00D86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E18"/>
    <w:rPr>
      <w:i/>
      <w:iCs/>
      <w:color w:val="0F4761" w:themeColor="accent1" w:themeShade="BF"/>
    </w:rPr>
  </w:style>
  <w:style w:type="character" w:styleId="IntenseReference">
    <w:name w:val="Intense Reference"/>
    <w:basedOn w:val="DefaultParagraphFont"/>
    <w:uiPriority w:val="32"/>
    <w:qFormat/>
    <w:rsid w:val="00D86E18"/>
    <w:rPr>
      <w:b/>
      <w:bCs/>
      <w:smallCaps/>
      <w:color w:val="0F4761" w:themeColor="accent1" w:themeShade="BF"/>
      <w:spacing w:val="5"/>
    </w:rPr>
  </w:style>
  <w:style w:type="character" w:styleId="Hyperlink">
    <w:name w:val="Hyperlink"/>
    <w:basedOn w:val="DefaultParagraphFont"/>
    <w:uiPriority w:val="99"/>
    <w:unhideWhenUsed/>
    <w:rsid w:val="00D86E18"/>
    <w:rPr>
      <w:color w:val="467886" w:themeColor="hyperlink"/>
      <w:u w:val="single"/>
    </w:rPr>
  </w:style>
  <w:style w:type="character" w:styleId="UnresolvedMention">
    <w:name w:val="Unresolved Mention"/>
    <w:basedOn w:val="DefaultParagraphFont"/>
    <w:uiPriority w:val="99"/>
    <w:semiHidden/>
    <w:unhideWhenUsed/>
    <w:rsid w:val="00D86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60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728</Words>
  <Characters>5407</Characters>
  <Application>Microsoft Office Word</Application>
  <DocSecurity>0</DocSecurity>
  <Lines>81</Lines>
  <Paragraphs>37</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2025-07-17T14:18:00Z</dcterms:created>
  <dcterms:modified xsi:type="dcterms:W3CDTF">2025-07-17T14:22:00Z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3985f44e-8f20-4a1f-b5ce-2f38238a064d</vt:lpwstr>
  </property>
</Properties>
</file>