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6F21" w14:textId="481895EF" w:rsidR="004B5CD6" w:rsidRPr="004B5CD6" w:rsidRDefault="004B5CD6" w:rsidP="004B5CD6">
      <w:pPr>
        <w:jc w:val="center"/>
      </w:pPr>
      <w:r w:rsidRPr="004B5CD6">
        <w:rPr>
          <w:b/>
          <w:bCs/>
        </w:rPr>
        <w:t>Confidential Candidate 2</w:t>
      </w:r>
      <w:r w:rsidRPr="004B5CD6">
        <w:br/>
        <w:t>Encinitas, CA</w:t>
      </w:r>
      <w:r w:rsidRPr="004B5CD6">
        <w:br/>
      </w:r>
    </w:p>
    <w:p w14:paraId="6573ED99" w14:textId="77777777" w:rsidR="004B5CD6" w:rsidRPr="004B5CD6" w:rsidRDefault="004B5CD6" w:rsidP="004B5CD6">
      <w:r w:rsidRPr="004B5CD6">
        <w:rPr>
          <w:b/>
          <w:bCs/>
        </w:rPr>
        <w:t>PROFESSIONAL SUMMARY</w:t>
      </w:r>
    </w:p>
    <w:p w14:paraId="2B6EF1A8" w14:textId="77777777" w:rsidR="004B5CD6" w:rsidRPr="004B5CD6" w:rsidRDefault="004B5CD6" w:rsidP="004B5CD6">
      <w:pPr>
        <w:numPr>
          <w:ilvl w:val="0"/>
          <w:numId w:val="1"/>
        </w:numPr>
      </w:pPr>
      <w:r w:rsidRPr="004B5CD6">
        <w:t>Strategic clinical development leader with 17+ years in endocrinology, specializing in adaptive proof-of-concept protocol design and regulatory buy-in</w:t>
      </w:r>
    </w:p>
    <w:p w14:paraId="5A398329" w14:textId="77777777" w:rsidR="004B5CD6" w:rsidRPr="004B5CD6" w:rsidRDefault="004B5CD6" w:rsidP="004B5CD6">
      <w:pPr>
        <w:numPr>
          <w:ilvl w:val="0"/>
          <w:numId w:val="1"/>
        </w:numPr>
      </w:pPr>
      <w:r w:rsidRPr="004B5CD6">
        <w:t>Proven track record of cross-functional team leadership, mentoring, and board-level communications to deliver Phase II POC in under five years</w:t>
      </w:r>
    </w:p>
    <w:p w14:paraId="6B69A085" w14:textId="77777777" w:rsidR="004B5CD6" w:rsidRPr="004B5CD6" w:rsidRDefault="004B5CD6" w:rsidP="004B5CD6">
      <w:pPr>
        <w:numPr>
          <w:ilvl w:val="0"/>
          <w:numId w:val="1"/>
        </w:numPr>
      </w:pPr>
      <w:r w:rsidRPr="004B5CD6">
        <w:t>Calm, persuasive communicator known for accelerating high-quality data delivery and building sustainable talent pipelines</w:t>
      </w:r>
    </w:p>
    <w:p w14:paraId="4E400C58" w14:textId="77777777" w:rsidR="004B5CD6" w:rsidRPr="004B5CD6" w:rsidRDefault="004B5CD6" w:rsidP="004B5CD6">
      <w:pPr>
        <w:numPr>
          <w:ilvl w:val="0"/>
          <w:numId w:val="1"/>
        </w:numPr>
      </w:pPr>
      <w:r w:rsidRPr="004B5CD6">
        <w:t>Compensation: $440K base</w:t>
      </w:r>
    </w:p>
    <w:p w14:paraId="0A2679E4" w14:textId="6030B83B" w:rsidR="004B5CD6" w:rsidRPr="004B5CD6" w:rsidRDefault="004B5CD6" w:rsidP="004B5CD6">
      <w:r w:rsidRPr="004B5CD6">
        <w:rPr>
          <w:b/>
          <w:bCs/>
        </w:rPr>
        <w:t>PROFESSIONAL EXPERIENCE</w:t>
      </w:r>
      <w:r w:rsidRPr="004B5CD6">
        <w:br/>
      </w:r>
      <w:r>
        <w:rPr>
          <w:b/>
          <w:bCs/>
        </w:rPr>
        <w:t>Confidential Biopharma</w:t>
      </w:r>
      <w:r w:rsidRPr="004B5CD6">
        <w:t>, Encinitas, CA</w:t>
      </w:r>
      <w:r w:rsidRPr="004B5CD6">
        <w:br/>
      </w:r>
      <w:r w:rsidRPr="004B5CD6">
        <w:rPr>
          <w:i/>
          <w:iCs/>
        </w:rPr>
        <w:t>Vice President, Endocrine Clinical Development</w:t>
      </w:r>
      <w:r w:rsidRPr="004B5CD6">
        <w:t xml:space="preserve"> | Jan 2019 – Present</w:t>
      </w:r>
    </w:p>
    <w:p w14:paraId="011EE537" w14:textId="77777777" w:rsidR="004B5CD6" w:rsidRPr="004B5CD6" w:rsidRDefault="004B5CD6" w:rsidP="004B5CD6">
      <w:pPr>
        <w:numPr>
          <w:ilvl w:val="0"/>
          <w:numId w:val="2"/>
        </w:numPr>
      </w:pPr>
      <w:r w:rsidRPr="004B5CD6">
        <w:t>Spearheaded the end-to-end design and execution of three global Phase II endocrine clinical trials, overseeing protocol development, site selection, and data monitoring. Leveraged adaptive study designs and close collaboration with biostatistics to achieve proof-of-concept within 36 months—25% faster than industry benchmarks—while maintaining robust safety and efficacy assessments.</w:t>
      </w:r>
    </w:p>
    <w:p w14:paraId="194C2A1A" w14:textId="77777777" w:rsidR="004B5CD6" w:rsidRPr="004B5CD6" w:rsidRDefault="004B5CD6" w:rsidP="004B5CD6">
      <w:pPr>
        <w:numPr>
          <w:ilvl w:val="0"/>
          <w:numId w:val="2"/>
        </w:numPr>
      </w:pPr>
      <w:r w:rsidRPr="004B5CD6">
        <w:t>Negotiated critical protocol elements and clinical endpoint definitions with FDA and EMA during pre-IND and end-of-Phase II meetings, ensuring alignment on statistical analysis plans. Developed comprehensive briefing packages and addressed agency feedback proactively, securing regulatory approvals without major queries or delay.</w:t>
      </w:r>
    </w:p>
    <w:p w14:paraId="19F7E6FD" w14:textId="77777777" w:rsidR="004B5CD6" w:rsidRPr="004B5CD6" w:rsidRDefault="004B5CD6" w:rsidP="004B5CD6">
      <w:pPr>
        <w:numPr>
          <w:ilvl w:val="0"/>
          <w:numId w:val="2"/>
        </w:numPr>
      </w:pPr>
      <w:r w:rsidRPr="004B5CD6">
        <w:t>Led and mentored a 12-member clinical and translational science team, defining clear roles, setting KPIs, and fostering a collaborative culture. Introduced resource planning tools and cross-departmental governance processes, which improved trial efficiency by 30% and reduced operational bottlenecks.</w:t>
      </w:r>
    </w:p>
    <w:p w14:paraId="56653816" w14:textId="77777777" w:rsidR="004B5CD6" w:rsidRPr="004B5CD6" w:rsidRDefault="004B5CD6" w:rsidP="004B5CD6">
      <w:pPr>
        <w:numPr>
          <w:ilvl w:val="0"/>
          <w:numId w:val="2"/>
        </w:numPr>
      </w:pPr>
      <w:r w:rsidRPr="004B5CD6">
        <w:t>Prepared and delivered detailed quarterly presentations to the executive board, highlighting key performance indicators, risk assessments, and go/no-go recommendations. Utilized feedback from leadership to iteratively refine clinical development plans, aligning study designs with corporate strategy and investor expectations.</w:t>
      </w:r>
    </w:p>
    <w:p w14:paraId="042580B8" w14:textId="72A1A6CB" w:rsidR="004B5CD6" w:rsidRPr="004B5CD6" w:rsidRDefault="004B5CD6" w:rsidP="004B5CD6">
      <w:r>
        <w:rPr>
          <w:b/>
          <w:bCs/>
        </w:rPr>
        <w:t>Confidential</w:t>
      </w:r>
      <w:r w:rsidRPr="004B5CD6">
        <w:rPr>
          <w:b/>
          <w:bCs/>
        </w:rPr>
        <w:t xml:space="preserve"> Clinical</w:t>
      </w:r>
      <w:r w:rsidRPr="004B5CD6">
        <w:t>, Carlsbad, CA</w:t>
      </w:r>
      <w:r w:rsidRPr="004B5CD6">
        <w:br/>
      </w:r>
      <w:r w:rsidRPr="004B5CD6">
        <w:rPr>
          <w:i/>
          <w:iCs/>
        </w:rPr>
        <w:t>Director, Clinical Research Endocrinology</w:t>
      </w:r>
      <w:r w:rsidRPr="004B5CD6">
        <w:t xml:space="preserve"> | Jul 2014 – Dec 2018</w:t>
      </w:r>
    </w:p>
    <w:p w14:paraId="2DC7D109" w14:textId="77777777" w:rsidR="004B5CD6" w:rsidRPr="004B5CD6" w:rsidRDefault="004B5CD6" w:rsidP="004B5CD6">
      <w:pPr>
        <w:numPr>
          <w:ilvl w:val="0"/>
          <w:numId w:val="3"/>
        </w:numPr>
      </w:pPr>
      <w:r w:rsidRPr="004B5CD6">
        <w:t xml:space="preserve">Implemented adaptive trial </w:t>
      </w:r>
      <w:proofErr w:type="gramStart"/>
      <w:r w:rsidRPr="004B5CD6">
        <w:t>methodologies—</w:t>
      </w:r>
      <w:proofErr w:type="gramEnd"/>
      <w:r w:rsidRPr="004B5CD6">
        <w:t xml:space="preserve">including group-sequential and response-adaptive designs—that reduced patient recruitment timelines by 20% across five global sites. Collaborated </w:t>
      </w:r>
      <w:r w:rsidRPr="004B5CD6">
        <w:lastRenderedPageBreak/>
        <w:t>with clinical operations and site managers to optimize enrollment criteria and logistics, ensuring balanced patient distribution and efficient site initiation.</w:t>
      </w:r>
    </w:p>
    <w:p w14:paraId="65AB16F7" w14:textId="77777777" w:rsidR="004B5CD6" w:rsidRPr="004B5CD6" w:rsidRDefault="004B5CD6" w:rsidP="004B5CD6">
      <w:pPr>
        <w:numPr>
          <w:ilvl w:val="0"/>
          <w:numId w:val="3"/>
        </w:numPr>
      </w:pPr>
      <w:r w:rsidRPr="004B5CD6">
        <w:t>Developed and maintained relationships with key opinion leaders (KOLs) and high-performing investigative sites across North America and Europe. Streamlined site qualification and activation processes by conducting on-site training and standardizing documentation, resulting in a 30% increase in activation speed.</w:t>
      </w:r>
    </w:p>
    <w:p w14:paraId="6F9CF39E" w14:textId="77777777" w:rsidR="004B5CD6" w:rsidRPr="004B5CD6" w:rsidRDefault="004B5CD6" w:rsidP="004B5CD6">
      <w:pPr>
        <w:numPr>
          <w:ilvl w:val="0"/>
          <w:numId w:val="3"/>
        </w:numPr>
      </w:pPr>
      <w:r w:rsidRPr="004B5CD6">
        <w:t xml:space="preserve">Provided one-on-one mentoring, structured training workshops, and career development plans for junior directors and managers. </w:t>
      </w:r>
      <w:proofErr w:type="gramStart"/>
      <w:r w:rsidRPr="004B5CD6">
        <w:t>Identified</w:t>
      </w:r>
      <w:proofErr w:type="gramEnd"/>
      <w:r w:rsidRPr="004B5CD6">
        <w:t xml:space="preserve"> high-potential team members, delegated leadership of sub-projects, and guided them through performance milestones—resulting in several promotions to senior leadership positions.</w:t>
      </w:r>
    </w:p>
    <w:p w14:paraId="733AF832" w14:textId="1A4397EB" w:rsidR="004B5CD6" w:rsidRPr="004B5CD6" w:rsidRDefault="004B5CD6" w:rsidP="004B5CD6">
      <w:r>
        <w:rPr>
          <w:b/>
          <w:bCs/>
        </w:rPr>
        <w:t xml:space="preserve">Confidential </w:t>
      </w:r>
      <w:r w:rsidRPr="004B5CD6">
        <w:rPr>
          <w:b/>
          <w:bCs/>
        </w:rPr>
        <w:t>Development</w:t>
      </w:r>
      <w:r w:rsidRPr="004B5CD6">
        <w:t>, San Diego, CA</w:t>
      </w:r>
      <w:r w:rsidRPr="004B5CD6">
        <w:br/>
      </w:r>
      <w:r w:rsidRPr="004B5CD6">
        <w:rPr>
          <w:i/>
          <w:iCs/>
        </w:rPr>
        <w:t>Manager, Clinical Operations</w:t>
      </w:r>
      <w:r w:rsidRPr="004B5CD6">
        <w:t xml:space="preserve"> | Sep 2008 – Jun 2014</w:t>
      </w:r>
    </w:p>
    <w:p w14:paraId="3850837C" w14:textId="77777777" w:rsidR="004B5CD6" w:rsidRPr="004B5CD6" w:rsidRDefault="004B5CD6" w:rsidP="004B5CD6">
      <w:pPr>
        <w:numPr>
          <w:ilvl w:val="0"/>
          <w:numId w:val="4"/>
        </w:numPr>
      </w:pPr>
      <w:r w:rsidRPr="004B5CD6">
        <w:t>Managed comprehensive medical monitoring and safety oversight for multiple Phase I and II endocrine studies, including designing review schedules and adjudication processes. Standardized data review dashboards and reporting metrics, cutting interim decision timelines by 40% and enabling more proactive risk management.</w:t>
      </w:r>
    </w:p>
    <w:p w14:paraId="03D1067D" w14:textId="77777777" w:rsidR="004B5CD6" w:rsidRPr="004B5CD6" w:rsidRDefault="004B5CD6" w:rsidP="004B5CD6">
      <w:pPr>
        <w:numPr>
          <w:ilvl w:val="0"/>
          <w:numId w:val="4"/>
        </w:numPr>
      </w:pPr>
      <w:r w:rsidRPr="004B5CD6">
        <w:t>Partnered closely with biomarker and clinical pharmacology teams to select and validate translational endpoints, ensuring meaningful mechanistic insights were captured. Drafted integrated data summaries and contributed to regulatory submission narratives, which strengthened the clinical justification in IND and MAA dossiers.</w:t>
      </w:r>
    </w:p>
    <w:p w14:paraId="04F2A61B" w14:textId="77777777" w:rsidR="004B5CD6" w:rsidRPr="004B5CD6" w:rsidRDefault="004B5CD6" w:rsidP="004B5CD6">
      <w:r w:rsidRPr="004B5CD6">
        <w:rPr>
          <w:b/>
          <w:bCs/>
        </w:rPr>
        <w:t>EDUCATION</w:t>
      </w:r>
    </w:p>
    <w:p w14:paraId="6BDB123A" w14:textId="77777777" w:rsidR="004B5CD6" w:rsidRPr="004B5CD6" w:rsidRDefault="004B5CD6" w:rsidP="004B5CD6">
      <w:pPr>
        <w:numPr>
          <w:ilvl w:val="0"/>
          <w:numId w:val="5"/>
        </w:numPr>
      </w:pPr>
      <w:r w:rsidRPr="004B5CD6">
        <w:t>University of Southern California MD, Endocrinology, 2006</w:t>
      </w:r>
    </w:p>
    <w:p w14:paraId="4E5732A8" w14:textId="77777777" w:rsidR="004B5CD6" w:rsidRPr="004B5CD6" w:rsidRDefault="004B5CD6" w:rsidP="004B5CD6">
      <w:pPr>
        <w:numPr>
          <w:ilvl w:val="0"/>
          <w:numId w:val="5"/>
        </w:numPr>
      </w:pPr>
      <w:r w:rsidRPr="004B5CD6">
        <w:t>State Institute of Technology BS, Biochemistry, Summa Cum Laude, 2002</w:t>
      </w:r>
    </w:p>
    <w:p w14:paraId="023F2CFA" w14:textId="77777777" w:rsidR="004B5CD6" w:rsidRPr="004B5CD6" w:rsidRDefault="004B5CD6" w:rsidP="004B5CD6">
      <w:r w:rsidRPr="004B5CD6">
        <w:rPr>
          <w:b/>
          <w:bCs/>
        </w:rPr>
        <w:t>AWARDS AND ACTIVITIES</w:t>
      </w:r>
    </w:p>
    <w:p w14:paraId="4CAD3368" w14:textId="77777777" w:rsidR="004B5CD6" w:rsidRPr="004B5CD6" w:rsidRDefault="004B5CD6" w:rsidP="004B5CD6">
      <w:pPr>
        <w:numPr>
          <w:ilvl w:val="0"/>
          <w:numId w:val="6"/>
        </w:numPr>
      </w:pPr>
      <w:r w:rsidRPr="004B5CD6">
        <w:t>2022 Innovation in Clinical Design Award, Biopharma Innovation Forum</w:t>
      </w:r>
    </w:p>
    <w:p w14:paraId="2B9A0CA7" w14:textId="77777777" w:rsidR="004B5CD6" w:rsidRPr="004B5CD6" w:rsidRDefault="004B5CD6" w:rsidP="004B5CD6">
      <w:pPr>
        <w:numPr>
          <w:ilvl w:val="0"/>
          <w:numId w:val="6"/>
        </w:numPr>
      </w:pPr>
      <w:r w:rsidRPr="004B5CD6">
        <w:t>2020 Panel Speaker, International Clinical Trials Conference</w:t>
      </w:r>
    </w:p>
    <w:p w14:paraId="4FE4346A" w14:textId="77777777" w:rsidR="004B5CD6" w:rsidRPr="004B5CD6" w:rsidRDefault="004B5CD6" w:rsidP="004B5CD6">
      <w:r w:rsidRPr="004B5CD6">
        <w:rPr>
          <w:b/>
          <w:bCs/>
        </w:rPr>
        <w:t>LANGUAGES</w:t>
      </w:r>
    </w:p>
    <w:p w14:paraId="00BBA6DF" w14:textId="77777777" w:rsidR="004B5CD6" w:rsidRPr="004B5CD6" w:rsidRDefault="004B5CD6" w:rsidP="004B5CD6">
      <w:pPr>
        <w:numPr>
          <w:ilvl w:val="0"/>
          <w:numId w:val="7"/>
        </w:numPr>
      </w:pPr>
      <w:r w:rsidRPr="004B5CD6">
        <w:t>Native English; Proficient French</w:t>
      </w:r>
    </w:p>
    <w:p w14:paraId="33800D74" w14:textId="24EF5DD4" w:rsidR="003E5CA4" w:rsidRDefault="004B5CD6">
      <w:r w:rsidRPr="004B5CD6">
        <w:rPr>
          <w:b/>
          <w:bCs/>
        </w:rPr>
        <w:t>SKILLS</w:t>
      </w:r>
      <w:r w:rsidRPr="004B5CD6">
        <w:br/>
        <w:t>Adaptive Trial Design • Regulatory Submissions • Team Mentorship • Strategic Planning</w:t>
      </w:r>
    </w:p>
    <w:sectPr w:rsidR="003E5CA4" w:rsidSect="004B5CD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AC2"/>
    <w:multiLevelType w:val="multilevel"/>
    <w:tmpl w:val="671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83BF1"/>
    <w:multiLevelType w:val="multilevel"/>
    <w:tmpl w:val="829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227A9"/>
    <w:multiLevelType w:val="multilevel"/>
    <w:tmpl w:val="5E9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C7298"/>
    <w:multiLevelType w:val="multilevel"/>
    <w:tmpl w:val="11FC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CE04A8"/>
    <w:multiLevelType w:val="multilevel"/>
    <w:tmpl w:val="8964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B087B"/>
    <w:multiLevelType w:val="multilevel"/>
    <w:tmpl w:val="FCC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5358D"/>
    <w:multiLevelType w:val="multilevel"/>
    <w:tmpl w:val="27AC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419113">
    <w:abstractNumId w:val="6"/>
  </w:num>
  <w:num w:numId="2" w16cid:durableId="787119146">
    <w:abstractNumId w:val="0"/>
  </w:num>
  <w:num w:numId="3" w16cid:durableId="346366735">
    <w:abstractNumId w:val="2"/>
  </w:num>
  <w:num w:numId="4" w16cid:durableId="811749753">
    <w:abstractNumId w:val="3"/>
  </w:num>
  <w:num w:numId="5" w16cid:durableId="626393766">
    <w:abstractNumId w:val="5"/>
  </w:num>
  <w:num w:numId="6" w16cid:durableId="2014257247">
    <w:abstractNumId w:val="4"/>
  </w:num>
  <w:num w:numId="7" w16cid:durableId="343627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CD6"/>
    <w:rsid w:val="001D4820"/>
    <w:rsid w:val="003E5CA4"/>
    <w:rsid w:val="004B5CD6"/>
    <w:rsid w:val="00B727B8"/>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36CB4"/>
  <w15:chartTrackingRefBased/>
  <w15:docId w15:val="{1AA59A5C-1122-4E3D-9F94-DD0D98E67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CD6"/>
    <w:rPr>
      <w:rFonts w:eastAsiaTheme="majorEastAsia" w:cstheme="majorBidi"/>
      <w:color w:val="272727" w:themeColor="text1" w:themeTint="D8"/>
    </w:rPr>
  </w:style>
  <w:style w:type="paragraph" w:styleId="Title">
    <w:name w:val="Title"/>
    <w:basedOn w:val="Normal"/>
    <w:next w:val="Normal"/>
    <w:link w:val="TitleChar"/>
    <w:uiPriority w:val="10"/>
    <w:qFormat/>
    <w:rsid w:val="004B5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CD6"/>
    <w:pPr>
      <w:spacing w:before="160"/>
      <w:jc w:val="center"/>
    </w:pPr>
    <w:rPr>
      <w:i/>
      <w:iCs/>
      <w:color w:val="404040" w:themeColor="text1" w:themeTint="BF"/>
    </w:rPr>
  </w:style>
  <w:style w:type="character" w:customStyle="1" w:styleId="QuoteChar">
    <w:name w:val="Quote Char"/>
    <w:basedOn w:val="DefaultParagraphFont"/>
    <w:link w:val="Quote"/>
    <w:uiPriority w:val="29"/>
    <w:rsid w:val="004B5CD6"/>
    <w:rPr>
      <w:i/>
      <w:iCs/>
      <w:color w:val="404040" w:themeColor="text1" w:themeTint="BF"/>
    </w:rPr>
  </w:style>
  <w:style w:type="paragraph" w:styleId="ListParagraph">
    <w:name w:val="List Paragraph"/>
    <w:basedOn w:val="Normal"/>
    <w:uiPriority w:val="34"/>
    <w:qFormat/>
    <w:rsid w:val="004B5CD6"/>
    <w:pPr>
      <w:ind w:left="720"/>
      <w:contextualSpacing/>
    </w:pPr>
  </w:style>
  <w:style w:type="character" w:styleId="IntenseEmphasis">
    <w:name w:val="Intense Emphasis"/>
    <w:basedOn w:val="DefaultParagraphFont"/>
    <w:uiPriority w:val="21"/>
    <w:qFormat/>
    <w:rsid w:val="004B5CD6"/>
    <w:rPr>
      <w:i/>
      <w:iCs/>
      <w:color w:val="0F4761" w:themeColor="accent1" w:themeShade="BF"/>
    </w:rPr>
  </w:style>
  <w:style w:type="paragraph" w:styleId="IntenseQuote">
    <w:name w:val="Intense Quote"/>
    <w:basedOn w:val="Normal"/>
    <w:next w:val="Normal"/>
    <w:link w:val="IntenseQuoteChar"/>
    <w:uiPriority w:val="30"/>
    <w:qFormat/>
    <w:rsid w:val="004B5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CD6"/>
    <w:rPr>
      <w:i/>
      <w:iCs/>
      <w:color w:val="0F4761" w:themeColor="accent1" w:themeShade="BF"/>
    </w:rPr>
  </w:style>
  <w:style w:type="character" w:styleId="IntenseReference">
    <w:name w:val="Intense Reference"/>
    <w:basedOn w:val="DefaultParagraphFont"/>
    <w:uiPriority w:val="32"/>
    <w:qFormat/>
    <w:rsid w:val="004B5CD6"/>
    <w:rPr>
      <w:b/>
      <w:bCs/>
      <w:smallCaps/>
      <w:color w:val="0F4761" w:themeColor="accent1" w:themeShade="BF"/>
      <w:spacing w:val="5"/>
    </w:rPr>
  </w:style>
  <w:style w:type="character" w:styleId="Hyperlink">
    <w:name w:val="Hyperlink"/>
    <w:basedOn w:val="DefaultParagraphFont"/>
    <w:uiPriority w:val="99"/>
    <w:unhideWhenUsed/>
    <w:rsid w:val="004B5CD6"/>
    <w:rPr>
      <w:color w:val="467886" w:themeColor="hyperlink"/>
      <w:u w:val="single"/>
    </w:rPr>
  </w:style>
  <w:style w:type="character" w:styleId="UnresolvedMention">
    <w:name w:val="Unresolved Mention"/>
    <w:basedOn w:val="DefaultParagraphFont"/>
    <w:uiPriority w:val="99"/>
    <w:semiHidden/>
    <w:unhideWhenUsed/>
    <w:rsid w:val="004B5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931827">
      <w:bodyDiv w:val="1"/>
      <w:marLeft w:val="0"/>
      <w:marRight w:val="0"/>
      <w:marTop w:val="0"/>
      <w:marBottom w:val="0"/>
      <w:divBdr>
        <w:top w:val="none" w:sz="0" w:space="0" w:color="auto"/>
        <w:left w:val="none" w:sz="0" w:space="0" w:color="auto"/>
        <w:bottom w:val="none" w:sz="0" w:space="0" w:color="auto"/>
        <w:right w:val="none" w:sz="0" w:space="0" w:color="auto"/>
      </w:divBdr>
      <w:divsChild>
        <w:div w:id="995496247">
          <w:marLeft w:val="0"/>
          <w:marRight w:val="0"/>
          <w:marTop w:val="0"/>
          <w:marBottom w:val="0"/>
          <w:divBdr>
            <w:top w:val="none" w:sz="0" w:space="0" w:color="auto"/>
            <w:left w:val="none" w:sz="0" w:space="0" w:color="auto"/>
            <w:bottom w:val="none" w:sz="0" w:space="0" w:color="auto"/>
            <w:right w:val="none" w:sz="0" w:space="0" w:color="auto"/>
          </w:divBdr>
          <w:divsChild>
            <w:div w:id="691613741">
              <w:marLeft w:val="0"/>
              <w:marRight w:val="0"/>
              <w:marTop w:val="0"/>
              <w:marBottom w:val="0"/>
              <w:divBdr>
                <w:top w:val="none" w:sz="0" w:space="0" w:color="auto"/>
                <w:left w:val="none" w:sz="0" w:space="0" w:color="auto"/>
                <w:bottom w:val="none" w:sz="0" w:space="0" w:color="auto"/>
                <w:right w:val="none" w:sz="0" w:space="0" w:color="auto"/>
              </w:divBdr>
              <w:divsChild>
                <w:div w:id="821578041">
                  <w:marLeft w:val="0"/>
                  <w:marRight w:val="0"/>
                  <w:marTop w:val="0"/>
                  <w:marBottom w:val="0"/>
                  <w:divBdr>
                    <w:top w:val="none" w:sz="0" w:space="0" w:color="auto"/>
                    <w:left w:val="none" w:sz="0" w:space="0" w:color="auto"/>
                    <w:bottom w:val="none" w:sz="0" w:space="0" w:color="auto"/>
                    <w:right w:val="none" w:sz="0" w:space="0" w:color="auto"/>
                  </w:divBdr>
                  <w:divsChild>
                    <w:div w:id="202787426">
                      <w:marLeft w:val="0"/>
                      <w:marRight w:val="0"/>
                      <w:marTop w:val="0"/>
                      <w:marBottom w:val="0"/>
                      <w:divBdr>
                        <w:top w:val="none" w:sz="0" w:space="0" w:color="auto"/>
                        <w:left w:val="none" w:sz="0" w:space="0" w:color="auto"/>
                        <w:bottom w:val="none" w:sz="0" w:space="0" w:color="auto"/>
                        <w:right w:val="none" w:sz="0" w:space="0" w:color="auto"/>
                      </w:divBdr>
                      <w:divsChild>
                        <w:div w:id="1936356897">
                          <w:marLeft w:val="0"/>
                          <w:marRight w:val="0"/>
                          <w:marTop w:val="0"/>
                          <w:marBottom w:val="0"/>
                          <w:divBdr>
                            <w:top w:val="none" w:sz="0" w:space="0" w:color="auto"/>
                            <w:left w:val="none" w:sz="0" w:space="0" w:color="auto"/>
                            <w:bottom w:val="none" w:sz="0" w:space="0" w:color="auto"/>
                            <w:right w:val="none" w:sz="0" w:space="0" w:color="auto"/>
                          </w:divBdr>
                          <w:divsChild>
                            <w:div w:id="3729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154600">
                  <w:marLeft w:val="0"/>
                  <w:marRight w:val="0"/>
                  <w:marTop w:val="0"/>
                  <w:marBottom w:val="0"/>
                  <w:divBdr>
                    <w:top w:val="none" w:sz="0" w:space="0" w:color="auto"/>
                    <w:left w:val="none" w:sz="0" w:space="0" w:color="auto"/>
                    <w:bottom w:val="none" w:sz="0" w:space="0" w:color="auto"/>
                    <w:right w:val="none" w:sz="0" w:space="0" w:color="auto"/>
                  </w:divBdr>
                  <w:divsChild>
                    <w:div w:id="9487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519</Words>
  <Characters>3697</Characters>
  <Application>Microsoft Office Word</Application>
  <DocSecurity>0</DocSecurity>
  <Lines>61</Lines>
  <Paragraphs>28</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2025-08-05T20:30:00Z</dcterms:created>
  <dcterms:modified xsi:type="dcterms:W3CDTF">2025-08-05T20:36:00Z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7fcc73df-aedb-49ce-9478-e44449ff6dbc</vt:lpwstr>
  </property>
</Properties>
</file>