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8FD9" w14:textId="77777777" w:rsidR="007809C6" w:rsidRPr="007809C6" w:rsidRDefault="007809C6" w:rsidP="005369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CONFIDENTIAL CANDIDATE 2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Palo Alto, California</w:t>
      </w:r>
    </w:p>
    <w:p w14:paraId="331B52CC" w14:textId="77777777" w:rsidR="007809C6" w:rsidRPr="007809C6" w:rsidRDefault="007809C6" w:rsidP="005369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President, Clinical Development | Immunology, Nephrology &amp; Indication Expansion</w:t>
      </w:r>
    </w:p>
    <w:p w14:paraId="3A442338" w14:textId="2FEADFAB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307DD47" w14:textId="77777777" w:rsidR="007809C6" w:rsidRPr="007809C6" w:rsidRDefault="007809C6" w:rsidP="0078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pict w14:anchorId="409DA95B">
          <v:rect id="_x0000_i1025" style="width:0;height:1.5pt" o:hralign="center" o:hrstd="t" o:hr="t" fillcolor="#a0a0a0" stroked="f"/>
        </w:pict>
      </w:r>
    </w:p>
    <w:p w14:paraId="3FC0E700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666ACEA7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Strategic clinical development leader with 17+ years driving immunology and nephrology programs from discovery through commercialization. Deep expertise in IND submissions, global regulatory filings, and cross-functional leadership across Phase 1-3 trials. Skilled at building and scaling high-performing clinical teams in fast-paced biotech environments. Known for calm, decisive leadership and ability to navigate complex scientific and regulatory challenges. Proven ability to partner across Research, Translational Medicine, Commercial, and external stakeholders. Peninsula-based; flexible for hybrid South San Francisco arrangement.</w:t>
      </w:r>
    </w:p>
    <w:p w14:paraId="2A86CCD6" w14:textId="77777777" w:rsidR="007809C6" w:rsidRPr="007809C6" w:rsidRDefault="007809C6" w:rsidP="0078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pict w14:anchorId="7B76E245">
          <v:rect id="_x0000_i1026" style="width:0;height:1.5pt" o:hralign="center" o:hrstd="t" o:hr="t" fillcolor="#a0a0a0" stroked="f"/>
        </w:pict>
      </w:r>
    </w:p>
    <w:p w14:paraId="106D045D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</w:p>
    <w:p w14:paraId="414D165D" w14:textId="1BE59A53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President, Clinical Development &amp; Strategy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369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</w:t>
      </w:r>
      <w:r w:rsidR="00536988"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| Menlo Park, CA | 2018 – Present</w:t>
      </w:r>
    </w:p>
    <w:p w14:paraId="455FB890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Lead comprehensive clinical development strategy for immunology portfolio including three parallel programs in lupus nephritis, IgA nephropathy, and systemic sclerosis spanning preclinical through Phase 2b stages</w:t>
      </w:r>
    </w:p>
    <w:p w14:paraId="043850CC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Built clinical development organization from 4 to 18 team members over 6-year period, establishing organizational structure, recruiting top talent, fostering culture of scientific excellence and accountability, and implementing performance management systems</w:t>
      </w:r>
    </w:p>
    <w:p w14:paraId="7F804579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Directed IND-enabling activities for dual IL-17/IL-23 antagonist including nonclinical pharmacology/toxicology review, CMC assessment, clinical protocol design, and regulatory strategy development, achieving FDA IND clearance within 30 days with zero clinical holds</w:t>
      </w:r>
    </w:p>
    <w:p w14:paraId="76F628F7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Managed global Phase 2 proof-of-concept trial across 12 countries (US, Canada, Europe, Asia-Pacific) enrolling 240 patients, achieving primary endpoint with statistical significance (p&lt;0.001) and favorable safety profile</w:t>
      </w:r>
    </w:p>
    <w:p w14:paraId="5C8E8F3A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Designed innovative trial incorporating kidney biopsy </w:t>
      </w:r>
      <w:proofErr w:type="spellStart"/>
      <w:r w:rsidRPr="007809C6">
        <w:rPr>
          <w:rFonts w:ascii="Times New Roman" w:eastAsia="Times New Roman" w:hAnsi="Times New Roman" w:cs="Times New Roman"/>
          <w:kern w:val="0"/>
          <w14:ligatures w14:val="none"/>
        </w:rPr>
        <w:t>substudies</w:t>
      </w:r>
      <w:proofErr w:type="spellEnd"/>
      <w:r w:rsidRPr="007809C6">
        <w:rPr>
          <w:rFonts w:ascii="Times New Roman" w:eastAsia="Times New Roman" w:hAnsi="Times New Roman" w:cs="Times New Roman"/>
          <w:kern w:val="0"/>
          <w14:ligatures w14:val="none"/>
        </w:rPr>
        <w:t>, longitudinal biomarker assessments, patient-reported outcomes, and adaptive dose-ranging components to maximize data generation and decision-making efficiency</w:t>
      </w:r>
    </w:p>
    <w:p w14:paraId="64199BE1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Partner extensively with Business Development and External Innovation teams to evaluate external assets, conducting clinical due diligence for two in-licensed programs including data room review, KOL consultation, and risk-benefit assessment</w:t>
      </w:r>
    </w:p>
    <w:p w14:paraId="457DF196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Led integration of in-licensed Phase 2 program including assumption of ongoing trial oversight, site relationship management, regulatory correspondence, and alignment with internal development standards</w:t>
      </w:r>
    </w:p>
    <w:p w14:paraId="0BA9E216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Represent clinical development in Executive Leadership Team meetings (weekly), Board of Directors quarterly reviews, and investor presentations, providing strategic recommendations and program updates</w:t>
      </w:r>
    </w:p>
    <w:p w14:paraId="0F530A43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Serve as primary medical and scientific liaison with FDA Division of Immunology and Nephrology, leading preparation for and participation in 4 Type B meetings, 2 Type C meetings, and multiple pre-submission correspondence interactions</w:t>
      </w:r>
    </w:p>
    <w:p w14:paraId="7FBD5C84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Oversee global clinical trial operations including site selection and activation across 85+ sites worldwide, CRO oversight, patient recruitment and retention strategies, data quality monitoring, and regulatory compliance</w:t>
      </w:r>
    </w:p>
    <w:p w14:paraId="1E932C4A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Collaborate closely with Research organization to ensure smooth transition of programs from discovery to development, establishing translational biomarker strategies, patient selection criteria, mechanism-of-action validation plans, and go/no-go decision frameworks</w:t>
      </w:r>
    </w:p>
    <w:p w14:paraId="0F16E1EF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Build and maintain relationships with 40+ key opinion leaders in nephrology and immunology globally, organizing advisory boards, obtaining strategic input, and establishing investigator-initiated trial collaborations</w:t>
      </w:r>
    </w:p>
    <w:p w14:paraId="7BE65980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Manage clinical development budget of $55M annually, optimizing resource allocation across multiple programs and ensuring cost-effective execution without compromising quality or timelines</w:t>
      </w:r>
    </w:p>
    <w:p w14:paraId="4F046EDF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Author and review high-stakes regulatory documents including IND submissions, briefing documents, clinical development plans, risk management plans, and responses to regulatory agency questions</w:t>
      </w:r>
    </w:p>
    <w:p w14:paraId="781E4616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Mentor and develop Medical Directors, Clinical Scientists, and Clinical Operations professionals through structured development programs, providing feedback, career coaching, and promotion advocacy</w:t>
      </w:r>
    </w:p>
    <w:p w14:paraId="3C73BB78" w14:textId="77777777" w:rsidR="007809C6" w:rsidRPr="007809C6" w:rsidRDefault="007809C6" w:rsidP="0078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Champion cross-functional collaboration across Development, Research, Translational Medicine, Commercial, Medical Affairs, Regulatory, and Quality organizations to ensure integrated program execution</w:t>
      </w:r>
    </w:p>
    <w:p w14:paraId="3EEBBFA3" w14:textId="60E6BEC2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</w:t>
      </w:r>
      <w:r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Therapeutics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| South San Francisco, CA | 2013 – 2018</w:t>
      </w:r>
    </w:p>
    <w:p w14:paraId="7523B045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Directed comprehensive clinical strategy for late-stage nephrology program through two Phase 3 pivotal trials (N=520 and N=480) and NDA submission, managing 4-year development timeline from Phase 2 completion to regulatory filing</w:t>
      </w:r>
    </w:p>
    <w:p w14:paraId="752E4205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Served as Sponsor Representative and primary medical expert at FDA Type B (2) and Type C (1) meetings, leading preparation of briefing documents, presentation of clinical data, responses to FDA questions, and negotiation of study design elements</w:t>
      </w:r>
    </w:p>
    <w:p w14:paraId="0AA7BCDF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Coordinated global trial execution with Clinical Operations team, managing 75+ trial sites across North America, Europe, and Asia-Pacific, ensuring protocol compliance, patient safety, data quality, and enrollment targets</w:t>
      </w:r>
    </w:p>
    <w:p w14:paraId="60055EA6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Designed complex Phase 3 program including innovative composite renal endpoint, time-to-event analyses, kidney biopsy </w:t>
      </w:r>
      <w:proofErr w:type="spellStart"/>
      <w:r w:rsidRPr="007809C6">
        <w:rPr>
          <w:rFonts w:ascii="Times New Roman" w:eastAsia="Times New Roman" w:hAnsi="Times New Roman" w:cs="Times New Roman"/>
          <w:kern w:val="0"/>
          <w14:ligatures w14:val="none"/>
        </w:rPr>
        <w:t>substudies</w:t>
      </w:r>
      <w:proofErr w:type="spellEnd"/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in subset of patients, and comprehensive cardiovascular safety assessments</w:t>
      </w:r>
    </w:p>
    <w:p w14:paraId="490CE384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Collaborated intensively with Regulatory Affairs on NDA submission strategy, contributing to all clinical modules, integrated summaries, clinical overview, and responses to FDA information requests during review cycle</w:t>
      </w:r>
    </w:p>
    <w:p w14:paraId="0E81174C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Led Advisory Committee preparation including development of presentation materials, anticipation of committee questions, mock Advisory Committee sessions, and coordination of expert witnesses</w:t>
      </w:r>
    </w:p>
    <w:p w14:paraId="09677802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Established DSMB charter, selected independent DSMB members, prepared DSMB meeting materials, and participated in all DSMB reviews ensuring appropriate balance of data transparency and study integrity</w:t>
      </w:r>
    </w:p>
    <w:p w14:paraId="61739D72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Managed safety monitoring including real-time adjudication of all serious adverse events, quarterly aggregate safety reports, signal detection analyses, and risk management planning</w:t>
      </w:r>
    </w:p>
    <w:p w14:paraId="2B6C0B83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Mentored Medical Directors and Clinical Scientists in clinical trial design, protocol development, regulatory interactions, scientific communication, and career advancement, developing training curriculum and conducting regular 1-on-1 coaching sessions</w:t>
      </w:r>
    </w:p>
    <w:p w14:paraId="6B02660C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Built relationships with nephrologist investigators worldwide, conducting in-person site visits, presenting at investigator meetings, troubleshooting enrollment challenges, and ensuring investigator engagement throughout trial lifecycle</w:t>
      </w:r>
    </w:p>
    <w:p w14:paraId="5611C2CF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Contributed to commercial planning activities including target product profile definition, market access strategy discussions, medical education planning, and real-world evidence study design</w:t>
      </w:r>
    </w:p>
    <w:p w14:paraId="026B6122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Authored 8 peer-reviewed manuscripts and presented data at major nephrology conferences including American Society of Nephrology Kidney Week, European Renal Association Congress, and World Congress of Nephrology</w:t>
      </w:r>
    </w:p>
    <w:p w14:paraId="6C7A1856" w14:textId="77777777" w:rsidR="007809C6" w:rsidRPr="007809C6" w:rsidRDefault="007809C6" w:rsidP="0078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Managed multimillion-dollar clinical program budget, tracking expenditures, forecasting costs, identifying savings opportunities, and providing financial updates to leadership</w:t>
      </w:r>
    </w:p>
    <w:p w14:paraId="230483EC" w14:textId="527CB449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Clinical Sciences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</w:t>
      </w:r>
      <w:r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Biopharma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| San Carlos, CA | 2009 – 2013</w:t>
      </w:r>
    </w:p>
    <w:p w14:paraId="7F45B5B2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Led clinical development for autoimmune portfolio including rheumatoid arthritis and inflammatory bowel disease programs spanning Phase 1 through Phase 2b stages</w:t>
      </w:r>
    </w:p>
    <w:p w14:paraId="30585A03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Designed Phase 1b/2a adaptive trial incorporating pharmacodynamic biomarkers (synovial tissue biopsies, peripheral blood immune cell profiling), interim futility analyses, and dose-optimization algorithms to enable real-time decision-making</w:t>
      </w:r>
    </w:p>
    <w:p w14:paraId="4881F1BE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Managed cross-functional study teams of 15+ members ensuring alignment across Clinical Operations, Biometrics, Regulatory Affairs, Medical Affairs, CMC, and Pharmacovigilance functions</w:t>
      </w:r>
    </w:p>
    <w:p w14:paraId="3C23D8E5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Authored clinical protocols, informed consent forms, investigator brochures, clinical study reports, integrated data summaries, and regulatory submission documents for IND and IND amendments</w:t>
      </w:r>
    </w:p>
    <w:p w14:paraId="46449EFC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Conducted medical monitoring for ongoing trials including review of all adverse events, assessment of causality, determination of reporting requirements, and recommendations for protocol modifications</w:t>
      </w:r>
    </w:p>
    <w:p w14:paraId="51940290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Presented clinical data and strategic recommendations at scientific advisory board meetings, investor conferences, partnership discussions, and internal governance committees</w:t>
      </w:r>
    </w:p>
    <w:p w14:paraId="3633200F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Established relationships with academic investigators and community-based rheumatologists, identifying potential collaboration opportunities and investigator-initiated trial proposals</w:t>
      </w:r>
    </w:p>
    <w:p w14:paraId="6261BFCE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Contributed to competitive intelligence activities including literature surveillance, conference coverage, clinical trial database monitoring, and preparation of competitive landscape analyses</w:t>
      </w:r>
    </w:p>
    <w:p w14:paraId="5B08324D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Supported Business Development due diligence activities for potential acquisitions and in-licensing opportunities, reviewing clinical data packages and assessing regulatory pathways</w:t>
      </w:r>
    </w:p>
    <w:p w14:paraId="647EA676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Participated in regulatory agency interactions including preparation of briefing materials and attendance at FDA meetings as supporting medical expert</w:t>
      </w:r>
    </w:p>
    <w:p w14:paraId="69C4EBAF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Mentored junior clinical development staff in GCP principles, protocol design, data interpretation, and professional development</w:t>
      </w:r>
    </w:p>
    <w:p w14:paraId="42928B37" w14:textId="77777777" w:rsidR="007809C6" w:rsidRPr="007809C6" w:rsidRDefault="007809C6" w:rsidP="00780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Managed CRO relationships across multiple clinical trials, conducting regular oversight meetings, quality audits, and performance evaluations</w:t>
      </w:r>
    </w:p>
    <w:p w14:paraId="0AF39360" w14:textId="52435996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Clinical Research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</w:t>
      </w:r>
      <w:r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Therapeutics Inc.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| Brisbane, CA | 2008 – 2009</w:t>
      </w:r>
    </w:p>
    <w:p w14:paraId="3D698DE9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Supported clinical trial execution for immunology programs in Phase 1 and Phase 2 including protocol implementation, site management, and data review activities</w:t>
      </w:r>
    </w:p>
    <w:p w14:paraId="1575FACA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Conducted medical monitoring and safety review for ongoing trials including real-time assessment of adverse events, causality determinations, and expedited reporting to regulatory agencies</w:t>
      </w:r>
    </w:p>
    <w:p w14:paraId="6A22D45F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Participated in study team meetings providing clinical expertise, addressing protocol questions, reviewing enrollment progress, and contributing to risk mitigation strategies</w:t>
      </w:r>
    </w:p>
    <w:p w14:paraId="553A3B2B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Contributed to clinical development plans, target product profiles, and regulatory strategy documents for early-stage programs</w:t>
      </w:r>
    </w:p>
    <w:p w14:paraId="35FCC7B9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Assisted in preparation of regulatory submissions including annual reports, safety updates, and responses to regulatory agency questions</w:t>
      </w:r>
    </w:p>
    <w:p w14:paraId="3D86DBA6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Reviewed clinical study data including efficacy endpoints, safety parameters, laboratory results, and patient-reported outcomes, identifying trends and potential concerns</w:t>
      </w:r>
    </w:p>
    <w:p w14:paraId="79A5482B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Supported investigator communication including protocol clarifications, medical information responses, and case discussions</w:t>
      </w:r>
    </w:p>
    <w:p w14:paraId="54CE83CB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Collaborated with Clinical Operations on site selection, feasibility assessments, and enrollment forecasting activities</w:t>
      </w:r>
    </w:p>
    <w:p w14:paraId="11A2EB6D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Participated in internal program review meetings presenting clinical updates and strategic recommendations to senior leadership</w:t>
      </w:r>
    </w:p>
    <w:p w14:paraId="322E5E8F" w14:textId="77777777" w:rsidR="007809C6" w:rsidRPr="007809C6" w:rsidRDefault="007809C6" w:rsidP="007809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Contributed to scientific publications and conference presentations including abstract preparation, manuscript drafting, and poster/slide development</w:t>
      </w:r>
    </w:p>
    <w:p w14:paraId="37EE6300" w14:textId="77777777" w:rsidR="007809C6" w:rsidRPr="007809C6" w:rsidRDefault="007809C6" w:rsidP="0078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pict w14:anchorId="1AD36595">
          <v:rect id="_x0000_i1027" style="width:0;height:1.5pt" o:hralign="center" o:hrstd="t" o:hr="t" fillcolor="#a0a0a0" stroked="f"/>
        </w:pict>
      </w:r>
    </w:p>
    <w:p w14:paraId="4F58C2AD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1B315239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PhD, Immunology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  <w:t>University of California, San Francisco (UCSF) | San Francisco, CA | 2007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Dissertation: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"T-Cell Regulation in Autoimmune Kidney Disease"</w:t>
      </w:r>
    </w:p>
    <w:p w14:paraId="4E2C1359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BS, Molecular Biology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  <w:t>University of California, Los Angeles (UCLA) | Los Angeles, CA | 2001</w:t>
      </w:r>
    </w:p>
    <w:p w14:paraId="0BEF117B" w14:textId="77777777" w:rsidR="007809C6" w:rsidRPr="007809C6" w:rsidRDefault="007809C6" w:rsidP="0078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pict w14:anchorId="3AECC9FD">
          <v:rect id="_x0000_i1028" style="width:0;height:1.5pt" o:hralign="center" o:hrstd="t" o:hr="t" fillcolor="#a0a0a0" stroked="f"/>
        </w:pict>
      </w:r>
    </w:p>
    <w:p w14:paraId="6D7E4E7C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POSTDOCTORAL TRAINING</w:t>
      </w:r>
    </w:p>
    <w:p w14:paraId="2195CABC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Postdoctoral Fellow, Nephrology &amp; Immunology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br/>
        <w:t>Stanford University School of Medicine | 2007 – 2008</w:t>
      </w:r>
    </w:p>
    <w:p w14:paraId="0A8F4021" w14:textId="77777777" w:rsidR="007809C6" w:rsidRPr="007809C6" w:rsidRDefault="007809C6" w:rsidP="0078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pict w14:anchorId="290DC5FB">
          <v:rect id="_x0000_i1029" style="width:0;height:1.5pt" o:hralign="center" o:hrstd="t" o:hr="t" fillcolor="#a0a0a0" stroked="f"/>
        </w:pict>
      </w:r>
    </w:p>
    <w:p w14:paraId="349BDD73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PUBLICATIONS &amp; PRESENTATIONS</w:t>
      </w:r>
    </w:p>
    <w:p w14:paraId="5A8B45BD" w14:textId="77777777" w:rsidR="007809C6" w:rsidRPr="007809C6" w:rsidRDefault="007809C6" w:rsidP="007809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Senior author, </w:t>
      </w:r>
      <w:r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Medicine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(2021): "Therapeutic Targeting in Immune-Mediated Glomerulonephritis"</w:t>
      </w:r>
    </w:p>
    <w:p w14:paraId="2BFF5002" w14:textId="77777777" w:rsidR="007809C6" w:rsidRPr="007809C6" w:rsidRDefault="007809C6" w:rsidP="007809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Invited speaker, American Society of Nephrology Kidney Week (2020, 2022, 2024)</w:t>
      </w:r>
    </w:p>
    <w:p w14:paraId="7CAD293A" w14:textId="77777777" w:rsidR="007809C6" w:rsidRPr="007809C6" w:rsidRDefault="007809C6" w:rsidP="007809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Contributing author, 15+ peer-reviewed publications in nephrology and immunology</w:t>
      </w:r>
    </w:p>
    <w:p w14:paraId="1A13815F" w14:textId="77777777" w:rsidR="007809C6" w:rsidRPr="007809C6" w:rsidRDefault="007809C6" w:rsidP="0078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pict w14:anchorId="1070E436">
          <v:rect id="_x0000_i1030" style="width:0;height:1.5pt" o:hralign="center" o:hrstd="t" o:hr="t" fillcolor="#a0a0a0" stroked="f"/>
        </w:pict>
      </w:r>
    </w:p>
    <w:p w14:paraId="7956D12E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&amp; RECOGNITION</w:t>
      </w:r>
    </w:p>
    <w:p w14:paraId="12A3D058" w14:textId="77777777" w:rsidR="007809C6" w:rsidRPr="007809C6" w:rsidRDefault="007809C6" w:rsidP="007809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Finalist, </w:t>
      </w:r>
      <w:r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Biotech Leader of the Year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– Bay Area Biotech Council (2023)</w:t>
      </w:r>
    </w:p>
    <w:p w14:paraId="317C728C" w14:textId="1778CACE" w:rsidR="007809C6" w:rsidRPr="007809C6" w:rsidRDefault="007809C6" w:rsidP="007809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Excellence in Clinical Development</w:t>
      </w:r>
      <w:r w:rsidRPr="007809C6">
        <w:rPr>
          <w:rFonts w:ascii="Times New Roman" w:eastAsia="Times New Roman" w:hAnsi="Times New Roman" w:cs="Times New Roman"/>
          <w:kern w:val="0"/>
          <w14:ligatures w14:val="none"/>
        </w:rPr>
        <w:t xml:space="preserve"> Award – A Bio (2022)</w:t>
      </w:r>
    </w:p>
    <w:p w14:paraId="0E432FA4" w14:textId="77777777" w:rsidR="007809C6" w:rsidRPr="007809C6" w:rsidRDefault="007809C6" w:rsidP="007809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pict w14:anchorId="55EF9DAB">
          <v:rect id="_x0000_i1031" style="width:0;height:1.5pt" o:hralign="center" o:hrstd="t" o:hr="t" fillcolor="#a0a0a0" stroked="f"/>
        </w:pict>
      </w:r>
    </w:p>
    <w:p w14:paraId="428764B2" w14:textId="77777777" w:rsidR="007809C6" w:rsidRPr="007809C6" w:rsidRDefault="007809C6" w:rsidP="00780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AFFILIATIONS</w:t>
      </w:r>
    </w:p>
    <w:p w14:paraId="5F2ECA64" w14:textId="77777777" w:rsidR="007809C6" w:rsidRPr="007809C6" w:rsidRDefault="007809C6" w:rsidP="007809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American Society of Nephrology (ASN)</w:t>
      </w:r>
    </w:p>
    <w:p w14:paraId="21175458" w14:textId="77777777" w:rsidR="007809C6" w:rsidRPr="007809C6" w:rsidRDefault="007809C6" w:rsidP="007809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Drug Information Association (DIA)</w:t>
      </w:r>
    </w:p>
    <w:p w14:paraId="170B6AAB" w14:textId="77777777" w:rsidR="007809C6" w:rsidRPr="007809C6" w:rsidRDefault="007809C6" w:rsidP="007809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C6">
        <w:rPr>
          <w:rFonts w:ascii="Times New Roman" w:eastAsia="Times New Roman" w:hAnsi="Times New Roman" w:cs="Times New Roman"/>
          <w:kern w:val="0"/>
          <w14:ligatures w14:val="none"/>
        </w:rPr>
        <w:t>American Association of Pharmaceutical Scientists (AAPS)</w:t>
      </w:r>
    </w:p>
    <w:p w14:paraId="690D4289" w14:textId="77777777" w:rsidR="00F90CB3" w:rsidRDefault="00F90CB3"/>
    <w:sectPr w:rsidR="00F90CB3" w:rsidSect="004678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C8D"/>
    <w:multiLevelType w:val="multilevel"/>
    <w:tmpl w:val="40A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1641"/>
    <w:multiLevelType w:val="multilevel"/>
    <w:tmpl w:val="F970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1580F"/>
    <w:multiLevelType w:val="multilevel"/>
    <w:tmpl w:val="EC2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A7AD7"/>
    <w:multiLevelType w:val="multilevel"/>
    <w:tmpl w:val="C4F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23285"/>
    <w:multiLevelType w:val="multilevel"/>
    <w:tmpl w:val="919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E79F7"/>
    <w:multiLevelType w:val="multilevel"/>
    <w:tmpl w:val="9C52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B0C3D"/>
    <w:multiLevelType w:val="multilevel"/>
    <w:tmpl w:val="3DF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36957">
    <w:abstractNumId w:val="4"/>
  </w:num>
  <w:num w:numId="2" w16cid:durableId="1114789083">
    <w:abstractNumId w:val="2"/>
  </w:num>
  <w:num w:numId="3" w16cid:durableId="1475828261">
    <w:abstractNumId w:val="0"/>
  </w:num>
  <w:num w:numId="4" w16cid:durableId="950892983">
    <w:abstractNumId w:val="6"/>
  </w:num>
  <w:num w:numId="5" w16cid:durableId="234358004">
    <w:abstractNumId w:val="3"/>
  </w:num>
  <w:num w:numId="6" w16cid:durableId="723454422">
    <w:abstractNumId w:val="5"/>
  </w:num>
  <w:num w:numId="7" w16cid:durableId="2144302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67"/>
    <w:rsid w:val="003E21DF"/>
    <w:rsid w:val="00467867"/>
    <w:rsid w:val="00536988"/>
    <w:rsid w:val="007809C6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24F4"/>
  <w15:chartTrackingRefBased/>
  <w15:docId w15:val="{F74CAE04-6709-4D54-A7F2-C914371C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2025-09-29T22:01:00Z</dcterms:created>
  <dcterms:modified xsi:type="dcterms:W3CDTF">2025-09-29T22:15:00Z</dcterms:modified>
</cp:coreProperties>
</file>