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631E" w14:textId="505F99EE" w:rsidR="001B081D" w:rsidRPr="00423728" w:rsidRDefault="001B081D" w:rsidP="001B081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Confidential Candidate 2</w:t>
      </w:r>
    </w:p>
    <w:p w14:paraId="7824283F" w14:textId="7EA111E1" w:rsidR="001B081D" w:rsidRPr="00423728" w:rsidRDefault="001B081D" w:rsidP="001B08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Connecticut, United States</w:t>
      </w:r>
    </w:p>
    <w:p w14:paraId="1E28FB7D" w14:textId="77777777" w:rsidR="001B081D" w:rsidRPr="00423728" w:rsidRDefault="001B081D" w:rsidP="001B08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2544B4F7" w14:textId="77777777" w:rsidR="001B081D" w:rsidRPr="00423728" w:rsidRDefault="001B081D" w:rsidP="001B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Accomplished clinical development executive with 12+ years leading allergic disease and immunology programs at Big Pharma, specializing in chronic urticaria, allergic asthma, and mast cell disorders</w:t>
      </w:r>
    </w:p>
    <w:p w14:paraId="57DF374E" w14:textId="77777777" w:rsidR="001B081D" w:rsidRPr="00423728" w:rsidRDefault="001B081D" w:rsidP="001B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Demonstrated expertise in strategic protocol design, FDA regulatory processes, and building high-performing cross-functional teams with calm leadership under pressure</w:t>
      </w:r>
    </w:p>
    <w:p w14:paraId="2959816E" w14:textId="77777777" w:rsidR="001B081D" w:rsidRPr="00423728" w:rsidRDefault="001B081D" w:rsidP="001B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Located near New Haven with hybrid work flexibility, seeking opportunities around $365K compensation</w:t>
      </w:r>
    </w:p>
    <w:p w14:paraId="69C7277C" w14:textId="77777777" w:rsidR="001B081D" w:rsidRPr="00423728" w:rsidRDefault="001B081D" w:rsidP="001B08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44BF2C28" w14:textId="48961F96" w:rsidR="001B081D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IMMUNOLOGY (DIVISION OF GLOBAL </w:t>
      </w:r>
      <w:proofErr w:type="gramStart"/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PHARMA)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Mar 2018 - Present </w:t>
      </w:r>
    </w:p>
    <w:p w14:paraId="2CF28532" w14:textId="77777777" w:rsidR="001B081D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Director, Clinical Development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Jan 2022 - Present </w:t>
      </w:r>
    </w:p>
    <w:p w14:paraId="1842A7AD" w14:textId="750DC95A" w:rsidR="001B081D" w:rsidRPr="00423728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Development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Mar 2018 - Jan 2022</w:t>
      </w:r>
    </w:p>
    <w:p w14:paraId="50275357" w14:textId="77777777" w:rsidR="001B081D" w:rsidRPr="00423728" w:rsidRDefault="001B081D" w:rsidP="001B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Directed clinical strategy and execution for $500M immunology portfolio including chronic urticaria, allergic asthma, and mast cell disease programs, establishing therapeutic area leadership across 8 distinct development programs from preclinical through post-market surveillance</w:t>
      </w:r>
    </w:p>
    <w:p w14:paraId="0FB512FD" w14:textId="77777777" w:rsidR="001B081D" w:rsidRPr="00423728" w:rsidRDefault="001B081D" w:rsidP="001B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Successfully led 3 NDA submissions resulting in FDA approvals for chronic urticaria (2), allergic asthma (1) therapeutics, personally managing all aspects of regulatory strategy including agency meetings, advisory committee preparations, and label negotiations</w:t>
      </w:r>
    </w:p>
    <w:p w14:paraId="30A63A58" w14:textId="77777777" w:rsidR="001B081D" w:rsidRPr="00423728" w:rsidRDefault="001B081D" w:rsidP="001B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Built and managed cross-functional teams of 40+ across clinical operations, biostatistics, regulatory, and medical affairs, implementing matrix management structures and performance metrics that improved project delivery timelines by 35%</w:t>
      </w:r>
    </w:p>
    <w:p w14:paraId="741911EA" w14:textId="77777777" w:rsidR="001B081D" w:rsidRPr="00423728" w:rsidRDefault="001B081D" w:rsidP="001B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Established strategic partnerships with 25+ key opinion leaders in allergy/immunology creating competitive advantage for program recruitment, hosting annual strategic advisory meetings and maintaining ongoing consultation relationships that enhanced protocol design and clinical execution</w:t>
      </w:r>
    </w:p>
    <w:p w14:paraId="00D136F2" w14:textId="77777777" w:rsidR="001B081D" w:rsidRPr="00423728" w:rsidRDefault="001B081D" w:rsidP="001B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Designed adaptive trial protocols reducing development timelines by 18 months for late-stage programs, incorporating innovative statistical methodologies and patient-reported outcomes that supported accelerated approval pathways</w:t>
      </w:r>
    </w:p>
    <w:p w14:paraId="75359BFB" w14:textId="77777777" w:rsidR="001B081D" w:rsidRPr="00423728" w:rsidRDefault="001B081D" w:rsidP="001B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Managed annual clinical budget of $85M with consistent delivery under budget and ahead of timeline, implementing cost-optimization strategies including risk-based monitoring and centralized laboratory services that reduced per-patient costs by 22%</w:t>
      </w:r>
    </w:p>
    <w:p w14:paraId="24ADE39F" w14:textId="77777777" w:rsidR="001B081D" w:rsidRPr="00423728" w:rsidRDefault="001B081D" w:rsidP="001B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Led FDA interactions including Type B meetings, advisory committee preparations, and post-marketing commitment discussions, serving as primary clinical liaison and successfully navigating complex regulatory requirements for novel biologics</w:t>
      </w:r>
    </w:p>
    <w:p w14:paraId="3E021E4F" w14:textId="77777777" w:rsidR="001B081D" w:rsidRPr="00423728" w:rsidRDefault="001B081D" w:rsidP="001B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Developed comprehensive clinical development plans that integrated real-world evidence generation with traditional randomized controlled trials, establishing partnerships with academic medical centers and patient registries</w:t>
      </w:r>
    </w:p>
    <w:p w14:paraId="7251847A" w14:textId="77777777" w:rsidR="001B081D" w:rsidRPr="00423728" w:rsidRDefault="001B081D" w:rsidP="001B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global clinical trial strategies spanning </w:t>
      </w:r>
      <w:proofErr w:type="gramStart"/>
      <w:r w:rsidRPr="00423728">
        <w:rPr>
          <w:rFonts w:ascii="Times New Roman" w:eastAsia="Times New Roman" w:hAnsi="Times New Roman" w:cs="Times New Roman"/>
          <w:kern w:val="0"/>
          <w14:ligatures w14:val="none"/>
        </w:rPr>
        <w:t>US</w:t>
      </w:r>
      <w:proofErr w:type="gramEnd"/>
      <w:r w:rsidRPr="00423728">
        <w:rPr>
          <w:rFonts w:ascii="Times New Roman" w:eastAsia="Times New Roman" w:hAnsi="Times New Roman" w:cs="Times New Roman"/>
          <w:kern w:val="0"/>
          <w14:ligatures w14:val="none"/>
        </w:rPr>
        <w:t>, EU, and APAC regions, coordinating with international regulatory agencies and establishing standardized operating procedures across multiple therapeutic areas</w:t>
      </w:r>
    </w:p>
    <w:p w14:paraId="7B2101C3" w14:textId="7B3689B3" w:rsidR="001B081D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CRIMSON THERAPEUTICS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Jun 2014 - Feb 2018 </w:t>
      </w:r>
    </w:p>
    <w:p w14:paraId="067981A5" w14:textId="77777777" w:rsidR="001B081D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Director, Clinical Development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Apr 2016 - Feb 2018 </w:t>
      </w:r>
    </w:p>
    <w:p w14:paraId="3C543CF9" w14:textId="3C4D8F26" w:rsidR="001B081D" w:rsidRPr="00423728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Director, Clinical Development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Jun 2014 - Apr 2016</w:t>
      </w:r>
    </w:p>
    <w:p w14:paraId="06B3F1A8" w14:textId="77777777" w:rsidR="001B081D" w:rsidRPr="00423728" w:rsidRDefault="001B081D" w:rsidP="001B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Managed Phase 2-3 studies in allergic asthma enrolling 1,500+ patients across </w:t>
      </w:r>
      <w:proofErr w:type="gramStart"/>
      <w:r w:rsidRPr="00423728">
        <w:rPr>
          <w:rFonts w:ascii="Times New Roman" w:eastAsia="Times New Roman" w:hAnsi="Times New Roman" w:cs="Times New Roman"/>
          <w:kern w:val="0"/>
          <w14:ligatures w14:val="none"/>
        </w:rPr>
        <w:t>US</w:t>
      </w:r>
      <w:proofErr w:type="gramEnd"/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and EU, implementing complex stratified randomization schemes and biomarker-driven enrollment strategies that enhanced study power and reduced sample size requirements</w:t>
      </w:r>
    </w:p>
    <w:p w14:paraId="404A5B4D" w14:textId="77777777" w:rsidR="001B081D" w:rsidRPr="00423728" w:rsidRDefault="001B081D" w:rsidP="001B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Developed clinical development plans for novel biologics targeting </w:t>
      </w:r>
      <w:proofErr w:type="spellStart"/>
      <w:r w:rsidRPr="00423728">
        <w:rPr>
          <w:rFonts w:ascii="Times New Roman" w:eastAsia="Times New Roman" w:hAnsi="Times New Roman" w:cs="Times New Roman"/>
          <w:kern w:val="0"/>
          <w14:ligatures w14:val="none"/>
        </w:rPr>
        <w:t>IgE</w:t>
      </w:r>
      <w:proofErr w:type="spellEnd"/>
      <w:r w:rsidRPr="00423728">
        <w:rPr>
          <w:rFonts w:ascii="Times New Roman" w:eastAsia="Times New Roman" w:hAnsi="Times New Roman" w:cs="Times New Roman"/>
          <w:kern w:val="0"/>
          <w14:ligatures w14:val="none"/>
        </w:rPr>
        <w:t>-mediated allergic diseases, conducting comprehensive competitive landscape analyses and establishing differentiated positioning strategies that supported successful business development partnerships</w:t>
      </w:r>
    </w:p>
    <w:p w14:paraId="7F9D6552" w14:textId="77777777" w:rsidR="001B081D" w:rsidRPr="00423728" w:rsidRDefault="001B081D" w:rsidP="001B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Coordinated international regulatory submissions including FDA IND and EMA CTA filings, managing parallel regulatory strategies across multiple jurisdictions and ensuring harmonized clinical trial designs that met diverse regional requirements</w:t>
      </w:r>
    </w:p>
    <w:p w14:paraId="5444FE83" w14:textId="77777777" w:rsidR="001B081D" w:rsidRPr="00423728" w:rsidRDefault="001B081D" w:rsidP="001B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Led clinical data review and medical interpretation for IDMC meetings and regulatory submissions, establishing standardized data monitoring procedures and developing sophisticated safety signal detection algorithms that enhanced patient safety oversight</w:t>
      </w:r>
    </w:p>
    <w:p w14:paraId="75E4CE04" w14:textId="77777777" w:rsidR="001B081D" w:rsidRPr="00423728" w:rsidRDefault="001B081D" w:rsidP="001B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Established clinical biomarker programs that supported personalized medicine approaches, collaborating with companion diagnostic developers to integrate predictive biomarkers into clinical trial designs and regulatory strategies</w:t>
      </w:r>
    </w:p>
    <w:p w14:paraId="65C054E7" w14:textId="77777777" w:rsidR="001B081D" w:rsidRPr="00423728" w:rsidRDefault="001B081D" w:rsidP="001B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Managed vendor relationships with 12+ CROs and service providers, implementing centralized oversight structures and performance monitoring systems that improved data quality and reduced operational costs by 18%</w:t>
      </w:r>
    </w:p>
    <w:p w14:paraId="1E862006" w14:textId="77777777" w:rsidR="001B081D" w:rsidRPr="00423728" w:rsidRDefault="001B081D" w:rsidP="001B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Developed clinical pharmacology strategies that optimized dose selection and administration regimens, working closely with quantitative pharmacology teams to establish exposure-response relationships and support labeling claims</w:t>
      </w:r>
    </w:p>
    <w:p w14:paraId="4DCBDBEE" w14:textId="7CFFC177" w:rsidR="001B081D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ALLERGY RESEARCH INSTITUTE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Aug 2012 - May 2014 </w:t>
      </w:r>
    </w:p>
    <w:p w14:paraId="1A87548F" w14:textId="5F8D60EA" w:rsidR="001B081D" w:rsidRPr="00423728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Clinical Research Manager</w:t>
      </w:r>
    </w:p>
    <w:p w14:paraId="54C3A546" w14:textId="77777777" w:rsidR="001B081D" w:rsidRPr="00423728" w:rsidRDefault="001B081D" w:rsidP="001B0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Managed investigator-initiated studies in chronic inducible urticaria and hereditary angioedema, serving as operational lead for 8 concurrent studies that collectively enrolled 400+ patients and generated foundational evidence for disease understanding</w:t>
      </w:r>
    </w:p>
    <w:p w14:paraId="70A85887" w14:textId="77777777" w:rsidR="001B081D" w:rsidRPr="00423728" w:rsidRDefault="001B081D" w:rsidP="001B0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Collaborated with academic investigators on protocol development and data analysis for 8 clinical studies, establishing standardized research methodologies and quality assurance procedures that enhanced data integrity and regulatory compliance</w:t>
      </w:r>
    </w:p>
    <w:p w14:paraId="055914AE" w14:textId="77777777" w:rsidR="001B081D" w:rsidRPr="00423728" w:rsidRDefault="001B081D" w:rsidP="001B0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Established patient registries for rare allergic diseases supporting natural history research, developing comprehensive data collection platforms and patient engagement strategies that achieved 90%+ long-term retention rates</w:t>
      </w:r>
    </w:p>
    <w:p w14:paraId="457AFE66" w14:textId="77777777" w:rsidR="001B081D" w:rsidRPr="00423728" w:rsidRDefault="001B081D" w:rsidP="001B0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Implemented clinical research infrastructure improvements including electronic data capture systems and centralized laboratory networks that enhanced data quality and reduced study timelines by 25%</w:t>
      </w:r>
    </w:p>
    <w:p w14:paraId="1A7E68D2" w14:textId="77777777" w:rsidR="001B081D" w:rsidRPr="00423728" w:rsidRDefault="001B081D" w:rsidP="001B08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6E37503A" w14:textId="77777777" w:rsidR="001B081D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Pennsylvania School of Medicine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880AFD" w14:textId="0437DD74" w:rsidR="001B081D" w:rsidRPr="00423728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2010 </w:t>
      </w: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of Medicine (MD)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Perelman School of Medicine, Alpha Omega Alpha Honor Society</w:t>
      </w:r>
    </w:p>
    <w:p w14:paraId="393B1212" w14:textId="77777777" w:rsidR="001B081D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Princeton University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1A8FC9" w14:textId="5B0DBDE6" w:rsidR="001B081D" w:rsidRPr="00423728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2006 </w:t>
      </w: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Arts in Molecular Biology, Summa Cum Laude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 Beta Kappa</w:t>
      </w:r>
    </w:p>
    <w:p w14:paraId="325DD109" w14:textId="77777777" w:rsidR="001B081D" w:rsidRDefault="001B081D" w:rsidP="001B08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AWARDS AND ACTIVITIES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7769BC" w14:textId="77777777" w:rsidR="001B081D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2023 Titan Immunology Leadership Excellence Award </w:t>
      </w:r>
    </w:p>
    <w:p w14:paraId="1CCCF0BD" w14:textId="77777777" w:rsidR="001B081D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2022 FDA Pediatric Review Committee Recognition for Allergic Asthma Program </w:t>
      </w:r>
    </w:p>
    <w:p w14:paraId="4A0ADFDF" w14:textId="11203CE6" w:rsidR="001B081D" w:rsidRPr="00423728" w:rsidRDefault="001B081D" w:rsidP="001B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2021 Keynote Speaker, World Allergy Organization Congress 2020 Clinical Research Excellence Award, American College of Allergy, Asthma &amp; Immunology</w:t>
      </w:r>
    </w:p>
    <w:p w14:paraId="1E3B3D4A" w14:textId="77777777" w:rsidR="001B081D" w:rsidRDefault="001B081D" w:rsidP="001B081D"/>
    <w:p w14:paraId="4EC810EB" w14:textId="77777777" w:rsidR="003E5CA4" w:rsidRDefault="003E5CA4"/>
    <w:sectPr w:rsidR="003E5CA4" w:rsidSect="001B08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51426"/>
    <w:multiLevelType w:val="multilevel"/>
    <w:tmpl w:val="2F7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960B0"/>
    <w:multiLevelType w:val="multilevel"/>
    <w:tmpl w:val="F08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C2F14"/>
    <w:multiLevelType w:val="multilevel"/>
    <w:tmpl w:val="8C8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66C4A"/>
    <w:multiLevelType w:val="multilevel"/>
    <w:tmpl w:val="2FA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805649">
    <w:abstractNumId w:val="0"/>
  </w:num>
  <w:num w:numId="2" w16cid:durableId="888607963">
    <w:abstractNumId w:val="1"/>
  </w:num>
  <w:num w:numId="3" w16cid:durableId="698437045">
    <w:abstractNumId w:val="2"/>
  </w:num>
  <w:num w:numId="4" w16cid:durableId="503086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1D"/>
    <w:rsid w:val="001B081D"/>
    <w:rsid w:val="001D4820"/>
    <w:rsid w:val="003E5CA4"/>
    <w:rsid w:val="007A247E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9AD87"/>
  <w15:chartTrackingRefBased/>
  <w15:docId w15:val="{9F0CEF50-80E9-4791-A901-8981A4D8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81D"/>
  </w:style>
  <w:style w:type="paragraph" w:styleId="Heading1">
    <w:name w:val="heading 1"/>
    <w:basedOn w:val="Normal"/>
    <w:next w:val="Normal"/>
    <w:link w:val="Heading1Char"/>
    <w:uiPriority w:val="9"/>
    <w:qFormat/>
    <w:rsid w:val="001B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771</Words>
  <Characters>5768</Characters>
  <Application>Microsoft Office Word</Application>
  <DocSecurity>0</DocSecurity>
  <Lines>90</Lines>
  <Paragraphs>53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2025-08-11T14:16:00Z</dcterms:created>
  <dcterms:modified xsi:type="dcterms:W3CDTF">2025-08-11T14:21:00Z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a107e46e-7eb9-48ed-86d9-ab1f004ca4b5</vt:lpwstr>
  </property>
</Properties>
</file>