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EF96" w14:textId="7AE0838C" w:rsidR="000A3EE1" w:rsidRPr="000A3EE1" w:rsidRDefault="000A3EE1" w:rsidP="000A3EE1">
      <w:pPr>
        <w:jc w:val="center"/>
        <w:rPr>
          <w:b/>
          <w:bCs/>
          <w:sz w:val="32"/>
          <w:szCs w:val="32"/>
        </w:rPr>
      </w:pPr>
      <w:r w:rsidRPr="00F03076">
        <w:rPr>
          <w:b/>
          <w:bCs/>
          <w:sz w:val="32"/>
          <w:szCs w:val="32"/>
        </w:rPr>
        <w:t xml:space="preserve">Confidential </w:t>
      </w:r>
      <w:r w:rsidRPr="000A3EE1">
        <w:rPr>
          <w:b/>
          <w:bCs/>
          <w:sz w:val="32"/>
          <w:szCs w:val="32"/>
        </w:rPr>
        <w:t xml:space="preserve">Candidate 2 </w:t>
      </w:r>
      <w:r w:rsidRPr="00F03076">
        <w:rPr>
          <w:b/>
          <w:bCs/>
          <w:sz w:val="32"/>
          <w:szCs w:val="32"/>
        </w:rPr>
        <w:t>MD</w:t>
      </w:r>
    </w:p>
    <w:p w14:paraId="68BE25D5" w14:textId="57458D36" w:rsidR="000A3EE1" w:rsidRPr="000A3EE1" w:rsidRDefault="000A3EE1" w:rsidP="000A3EE1">
      <w:pPr>
        <w:jc w:val="center"/>
      </w:pPr>
      <w:r w:rsidRPr="000A3EE1">
        <w:br/>
      </w:r>
      <w:r w:rsidRPr="000A3EE1">
        <w:br/>
        <w:t>Greater Boston Area (outside Waltham – commutable hybrid)</w:t>
      </w:r>
      <w:r w:rsidRPr="000A3EE1">
        <w:br/>
      </w:r>
      <w:r w:rsidRPr="000A3EE1">
        <w:rPr>
          <w:b/>
          <w:bCs/>
        </w:rPr>
        <w:t>Compensation Expectation:</w:t>
      </w:r>
      <w:r w:rsidRPr="000A3EE1">
        <w:t xml:space="preserve"> ~$365K </w:t>
      </w:r>
      <w:r w:rsidRPr="000A3EE1">
        <w:br/>
      </w:r>
      <w:r w:rsidRPr="000A3EE1">
        <w:rPr>
          <w:b/>
          <w:bCs/>
        </w:rPr>
        <w:t>Availability:</w:t>
      </w:r>
      <w:r w:rsidRPr="000A3EE1">
        <w:t xml:space="preserve"> Flexible</w:t>
      </w:r>
    </w:p>
    <w:p w14:paraId="61BE3C23" w14:textId="77777777" w:rsidR="000A3EE1" w:rsidRPr="000A3EE1" w:rsidRDefault="000A3EE1" w:rsidP="000A3EE1">
      <w:r w:rsidRPr="000A3EE1">
        <w:pict w14:anchorId="55B8095F">
          <v:rect id="_x0000_i1025" style="width:0;height:1.5pt" o:hralign="center" o:hrstd="t" o:hr="t" fillcolor="#a0a0a0" stroked="f"/>
        </w:pict>
      </w:r>
    </w:p>
    <w:p w14:paraId="5A15E9CC" w14:textId="77777777" w:rsidR="000A3EE1" w:rsidRPr="000A3EE1" w:rsidRDefault="000A3EE1" w:rsidP="000A3EE1">
      <w:pPr>
        <w:rPr>
          <w:b/>
          <w:bCs/>
        </w:rPr>
      </w:pPr>
      <w:r w:rsidRPr="000A3EE1">
        <w:rPr>
          <w:b/>
          <w:bCs/>
        </w:rPr>
        <w:t>PROFESSIONAL SUMMARY</w:t>
      </w:r>
    </w:p>
    <w:p w14:paraId="15B72435" w14:textId="77777777" w:rsidR="000A3EE1" w:rsidRPr="000A3EE1" w:rsidRDefault="000A3EE1" w:rsidP="000A3EE1">
      <w:r w:rsidRPr="000A3EE1">
        <w:t>Strategic, calm, and results-driven medical leader with 15+ years of oncology drug development experience, with deep specialization in bladder cancer and mucosal immunotherapy. Known for driving late-stage clinical programs through regulatory approval and into commercialization. Expert in interfacing with KOLs, designing pivotal trials, and leading teams through complex cross-functional initiatives. Excels in translating scientific innovation into real-world patient impact.</w:t>
      </w:r>
    </w:p>
    <w:p w14:paraId="2DF4CAB7" w14:textId="77777777" w:rsidR="000A3EE1" w:rsidRPr="000A3EE1" w:rsidRDefault="000A3EE1" w:rsidP="000A3EE1">
      <w:r w:rsidRPr="000A3EE1">
        <w:pict w14:anchorId="104C75E1">
          <v:rect id="_x0000_i1026" style="width:0;height:1.5pt" o:hralign="center" o:hrstd="t" o:hr="t" fillcolor="#a0a0a0" stroked="f"/>
        </w:pict>
      </w:r>
    </w:p>
    <w:p w14:paraId="23119092" w14:textId="77777777" w:rsidR="000A3EE1" w:rsidRPr="000A3EE1" w:rsidRDefault="000A3EE1" w:rsidP="000A3EE1">
      <w:pPr>
        <w:rPr>
          <w:b/>
          <w:bCs/>
        </w:rPr>
      </w:pPr>
      <w:r w:rsidRPr="000A3EE1">
        <w:rPr>
          <w:b/>
          <w:bCs/>
        </w:rPr>
        <w:t>PROFESSIONAL EXPERIENCE</w:t>
      </w:r>
    </w:p>
    <w:p w14:paraId="78379F83" w14:textId="77777777" w:rsidR="000A3EE1" w:rsidRPr="000A3EE1" w:rsidRDefault="000A3EE1" w:rsidP="000A3EE1">
      <w:proofErr w:type="spellStart"/>
      <w:r w:rsidRPr="000A3EE1">
        <w:rPr>
          <w:b/>
          <w:bCs/>
        </w:rPr>
        <w:t>ImmuNexis</w:t>
      </w:r>
      <w:proofErr w:type="spellEnd"/>
      <w:r w:rsidRPr="000A3EE1">
        <w:rPr>
          <w:b/>
          <w:bCs/>
        </w:rPr>
        <w:t xml:space="preserve"> Therapeutics</w:t>
      </w:r>
      <w:r w:rsidRPr="000A3EE1">
        <w:br/>
      </w:r>
      <w:r w:rsidRPr="000A3EE1">
        <w:rPr>
          <w:i/>
          <w:iCs/>
        </w:rPr>
        <w:t>Senior Medical Director, Clinical Development</w:t>
      </w:r>
      <w:r w:rsidRPr="000A3EE1">
        <w:br/>
      </w:r>
      <w:r w:rsidRPr="000A3EE1">
        <w:rPr>
          <w:b/>
          <w:bCs/>
        </w:rPr>
        <w:t>Mar 2020 – Present | Lexington, MA</w:t>
      </w:r>
    </w:p>
    <w:p w14:paraId="08EF5AFB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Oversaw clinical development of a breakthrough gene therapy for BCG-unresponsive NMIBC, including all aspects of trial design, safety oversight, regulatory strategy, and data interpretation.</w:t>
      </w:r>
    </w:p>
    <w:p w14:paraId="6182025C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Designed and led a global Phase III trial, partnering with regulatory, biostatistics, CMC, and quality teams to ensure synchronized timelines and submission readiness.</w:t>
      </w:r>
    </w:p>
    <w:p w14:paraId="53A15F95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Guided medical monitoring activities, led SAE adjudications, and chaired internal safety review teams; developed trial-specific risk mitigation strategies that reduced protocol deviations by 35%.</w:t>
      </w:r>
    </w:p>
    <w:p w14:paraId="70DCC100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Served as clinical spokesperson during pre-NDA meetings and prepared medical narratives and datasets for FDA review, successfully moving the asset toward commercialization.</w:t>
      </w:r>
    </w:p>
    <w:p w14:paraId="5FE51017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Managed trial operations across 40+ sites globally, working closely with CRO vendors and site investigators to troubleshoot delays, optimize enrollment, and manage protocol amendments.</w:t>
      </w:r>
    </w:p>
    <w:p w14:paraId="71A71C31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Mentored a growing team of junior clinical scientists and clinical research physicians; implemented knowledge-sharing forums and cross-training programs to elevate departmental performance.</w:t>
      </w:r>
    </w:p>
    <w:p w14:paraId="32F17BD6" w14:textId="77777777" w:rsidR="000A3EE1" w:rsidRPr="000A3EE1" w:rsidRDefault="000A3EE1" w:rsidP="000A3EE1">
      <w:pPr>
        <w:numPr>
          <w:ilvl w:val="0"/>
          <w:numId w:val="1"/>
        </w:numPr>
      </w:pPr>
      <w:r w:rsidRPr="000A3EE1">
        <w:t>Initiated strategic collaborations with academic urology departments to explore exploratory endpoints and real-world validation.</w:t>
      </w:r>
    </w:p>
    <w:p w14:paraId="75289A47" w14:textId="77777777" w:rsidR="000A3EE1" w:rsidRPr="000A3EE1" w:rsidRDefault="000A3EE1" w:rsidP="000A3EE1">
      <w:proofErr w:type="spellStart"/>
      <w:r w:rsidRPr="000A3EE1">
        <w:rPr>
          <w:b/>
          <w:bCs/>
        </w:rPr>
        <w:lastRenderedPageBreak/>
        <w:t>MediCell</w:t>
      </w:r>
      <w:proofErr w:type="spellEnd"/>
      <w:r w:rsidRPr="000A3EE1">
        <w:rPr>
          <w:b/>
          <w:bCs/>
        </w:rPr>
        <w:t xml:space="preserve"> Biosciences</w:t>
      </w:r>
      <w:r w:rsidRPr="000A3EE1">
        <w:br/>
      </w:r>
      <w:r w:rsidRPr="000A3EE1">
        <w:rPr>
          <w:i/>
          <w:iCs/>
        </w:rPr>
        <w:t>Medical Director, Oncology Programs</w:t>
      </w:r>
      <w:r w:rsidRPr="000A3EE1">
        <w:br/>
      </w:r>
      <w:r w:rsidRPr="000A3EE1">
        <w:rPr>
          <w:b/>
          <w:bCs/>
        </w:rPr>
        <w:t>Nov 2014 – Feb 2020 | Bedford, MA</w:t>
      </w:r>
    </w:p>
    <w:p w14:paraId="31B39852" w14:textId="77777777" w:rsidR="000A3EE1" w:rsidRPr="000A3EE1" w:rsidRDefault="000A3EE1" w:rsidP="000A3EE1">
      <w:pPr>
        <w:numPr>
          <w:ilvl w:val="0"/>
          <w:numId w:val="2"/>
        </w:numPr>
      </w:pPr>
      <w:r w:rsidRPr="000A3EE1">
        <w:t>Led development of an investigational mucosal immunotherapy platform across multiple cancer types, with focus on bladder and gynecologic malignancies.</w:t>
      </w:r>
    </w:p>
    <w:p w14:paraId="51E74573" w14:textId="77777777" w:rsidR="000A3EE1" w:rsidRPr="000A3EE1" w:rsidRDefault="000A3EE1" w:rsidP="000A3EE1">
      <w:pPr>
        <w:numPr>
          <w:ilvl w:val="0"/>
          <w:numId w:val="2"/>
        </w:numPr>
      </w:pPr>
      <w:r w:rsidRPr="000A3EE1">
        <w:t>Directed cross-functional project teams comprising regulatory affairs, CMC, translational medicine, and clinical operations, contributing to a cohesive strategy across clinical and preclinical stages.</w:t>
      </w:r>
    </w:p>
    <w:p w14:paraId="30602771" w14:textId="77777777" w:rsidR="000A3EE1" w:rsidRPr="000A3EE1" w:rsidRDefault="000A3EE1" w:rsidP="000A3EE1">
      <w:pPr>
        <w:numPr>
          <w:ilvl w:val="0"/>
          <w:numId w:val="2"/>
        </w:numPr>
      </w:pPr>
      <w:r w:rsidRPr="000A3EE1">
        <w:t>Designed and launched three Phase I/II clinical trials, with 250+ patients enrolled across North America and EU, emphasizing efficient data review and protocol compliance.</w:t>
      </w:r>
    </w:p>
    <w:p w14:paraId="73D5EBA5" w14:textId="77777777" w:rsidR="000A3EE1" w:rsidRPr="000A3EE1" w:rsidRDefault="000A3EE1" w:rsidP="000A3EE1">
      <w:pPr>
        <w:numPr>
          <w:ilvl w:val="0"/>
          <w:numId w:val="2"/>
        </w:numPr>
      </w:pPr>
      <w:r w:rsidRPr="000A3EE1">
        <w:t>Built competitive intelligence dashboards to track market entrants, helping shape trial endpoints and ensuring differentiation in product positioning.</w:t>
      </w:r>
    </w:p>
    <w:p w14:paraId="70BE11B9" w14:textId="77777777" w:rsidR="000A3EE1" w:rsidRPr="000A3EE1" w:rsidRDefault="000A3EE1" w:rsidP="000A3EE1">
      <w:pPr>
        <w:numPr>
          <w:ilvl w:val="0"/>
          <w:numId w:val="2"/>
        </w:numPr>
      </w:pPr>
      <w:r w:rsidRPr="000A3EE1">
        <w:t>Played a lead role in the design and execution of a long-term follow-up (LTFU) study for gene-modified therapies, enabling the company to meet evolving FDA guidelines for post-treatment safety.</w:t>
      </w:r>
    </w:p>
    <w:p w14:paraId="46BADEEB" w14:textId="77777777" w:rsidR="000A3EE1" w:rsidRPr="000A3EE1" w:rsidRDefault="000A3EE1" w:rsidP="000A3EE1">
      <w:pPr>
        <w:numPr>
          <w:ilvl w:val="0"/>
          <w:numId w:val="2"/>
        </w:numPr>
      </w:pPr>
      <w:r w:rsidRPr="000A3EE1">
        <w:t>Convened multiple advisory boards and symposia, co-authoring key publications in collaboration with KOLs and presenting safety and efficacy findings at major oncology conferences.</w:t>
      </w:r>
    </w:p>
    <w:p w14:paraId="0A06A8D4" w14:textId="77777777" w:rsidR="000A3EE1" w:rsidRPr="000A3EE1" w:rsidRDefault="000A3EE1" w:rsidP="000A3EE1">
      <w:proofErr w:type="spellStart"/>
      <w:r w:rsidRPr="000A3EE1">
        <w:rPr>
          <w:b/>
          <w:bCs/>
        </w:rPr>
        <w:t>NeoVia</w:t>
      </w:r>
      <w:proofErr w:type="spellEnd"/>
      <w:r w:rsidRPr="000A3EE1">
        <w:rPr>
          <w:b/>
          <w:bCs/>
        </w:rPr>
        <w:t xml:space="preserve"> Pharmaceuticals</w:t>
      </w:r>
      <w:r w:rsidRPr="000A3EE1">
        <w:br/>
      </w:r>
      <w:r w:rsidRPr="000A3EE1">
        <w:rPr>
          <w:i/>
          <w:iCs/>
        </w:rPr>
        <w:t>Clinical Scientist → Associate Medical Director</w:t>
      </w:r>
      <w:r w:rsidRPr="000A3EE1">
        <w:br/>
      </w:r>
      <w:r w:rsidRPr="000A3EE1">
        <w:rPr>
          <w:b/>
          <w:bCs/>
        </w:rPr>
        <w:t>Aug 2009 – Oct 2014 | Boston, MA</w:t>
      </w:r>
    </w:p>
    <w:p w14:paraId="3C877D1F" w14:textId="77777777" w:rsidR="000A3EE1" w:rsidRPr="000A3EE1" w:rsidRDefault="000A3EE1" w:rsidP="000A3EE1">
      <w:pPr>
        <w:numPr>
          <w:ilvl w:val="0"/>
          <w:numId w:val="3"/>
        </w:numPr>
      </w:pPr>
      <w:r w:rsidRPr="000A3EE1">
        <w:t>Supported Phase I trials for an immunomodulatory compound targeting epithelial tumors; responsibilities included protocol development, trial design, medical writing, and clinical data reviews.</w:t>
      </w:r>
    </w:p>
    <w:p w14:paraId="34D7D944" w14:textId="77777777" w:rsidR="000A3EE1" w:rsidRPr="000A3EE1" w:rsidRDefault="000A3EE1" w:rsidP="000A3EE1">
      <w:pPr>
        <w:numPr>
          <w:ilvl w:val="0"/>
          <w:numId w:val="3"/>
        </w:numPr>
      </w:pPr>
      <w:r w:rsidRPr="000A3EE1">
        <w:t>Conducted real-time data analysis with the biometrics team, identifying early efficacy signals that informed go/no-go decisions for dose escalation cohorts.</w:t>
      </w:r>
    </w:p>
    <w:p w14:paraId="57B6D8B9" w14:textId="77777777" w:rsidR="000A3EE1" w:rsidRPr="000A3EE1" w:rsidRDefault="000A3EE1" w:rsidP="000A3EE1">
      <w:pPr>
        <w:numPr>
          <w:ilvl w:val="0"/>
          <w:numId w:val="3"/>
        </w:numPr>
      </w:pPr>
      <w:r w:rsidRPr="000A3EE1">
        <w:t>Led preparation of investigator meeting content, SIV training, and medical monitoring plans, ensuring consistent engagement and alignment across all trial sites.</w:t>
      </w:r>
    </w:p>
    <w:p w14:paraId="1CA514F0" w14:textId="77777777" w:rsidR="000A3EE1" w:rsidRPr="000A3EE1" w:rsidRDefault="000A3EE1" w:rsidP="000A3EE1">
      <w:pPr>
        <w:numPr>
          <w:ilvl w:val="0"/>
          <w:numId w:val="3"/>
        </w:numPr>
      </w:pPr>
      <w:r w:rsidRPr="000A3EE1">
        <w:t xml:space="preserve">Developed adverse </w:t>
      </w:r>
      <w:proofErr w:type="gramStart"/>
      <w:r w:rsidRPr="000A3EE1">
        <w:t>event</w:t>
      </w:r>
      <w:proofErr w:type="gramEnd"/>
      <w:r w:rsidRPr="000A3EE1">
        <w:t xml:space="preserve"> and SAE reporting algorithms in collaboration with pharmacovigilance, which were later adopted </w:t>
      </w:r>
      <w:proofErr w:type="gramStart"/>
      <w:r w:rsidRPr="000A3EE1">
        <w:t>company-wide</w:t>
      </w:r>
      <w:proofErr w:type="gramEnd"/>
      <w:r w:rsidRPr="000A3EE1">
        <w:t>.</w:t>
      </w:r>
    </w:p>
    <w:p w14:paraId="04210BF7" w14:textId="77777777" w:rsidR="000A3EE1" w:rsidRPr="000A3EE1" w:rsidRDefault="000A3EE1" w:rsidP="000A3EE1">
      <w:pPr>
        <w:numPr>
          <w:ilvl w:val="0"/>
          <w:numId w:val="3"/>
        </w:numPr>
      </w:pPr>
      <w:r w:rsidRPr="000A3EE1">
        <w:t>Contributed to early-stage business development activities by evaluating in-licensing opportunities and supporting pitch decks for investor presentations.</w:t>
      </w:r>
    </w:p>
    <w:p w14:paraId="5A1A03C8" w14:textId="77777777" w:rsidR="007E7199" w:rsidRDefault="007E7199"/>
    <w:p w14:paraId="6451B5CC" w14:textId="77777777" w:rsidR="00F03076" w:rsidRDefault="00F03076" w:rsidP="000A3EE1">
      <w:pPr>
        <w:rPr>
          <w:b/>
          <w:bCs/>
        </w:rPr>
      </w:pPr>
    </w:p>
    <w:p w14:paraId="0EEBC914" w14:textId="77777777" w:rsidR="00F03076" w:rsidRDefault="00F03076" w:rsidP="000A3EE1">
      <w:pPr>
        <w:rPr>
          <w:b/>
          <w:bCs/>
        </w:rPr>
      </w:pPr>
    </w:p>
    <w:p w14:paraId="0974FBAB" w14:textId="77777777" w:rsidR="00F03076" w:rsidRDefault="00F03076" w:rsidP="000A3EE1">
      <w:pPr>
        <w:rPr>
          <w:b/>
          <w:bCs/>
        </w:rPr>
      </w:pPr>
    </w:p>
    <w:p w14:paraId="1191F1C8" w14:textId="068DD019" w:rsidR="000A3EE1" w:rsidRPr="000A3EE1" w:rsidRDefault="000A3EE1" w:rsidP="000A3EE1">
      <w:pPr>
        <w:rPr>
          <w:b/>
          <w:bCs/>
        </w:rPr>
      </w:pPr>
      <w:r w:rsidRPr="000A3EE1">
        <w:rPr>
          <w:b/>
          <w:bCs/>
        </w:rPr>
        <w:lastRenderedPageBreak/>
        <w:t>EDUCATION</w:t>
      </w:r>
    </w:p>
    <w:p w14:paraId="26F54738" w14:textId="77777777" w:rsidR="000A3EE1" w:rsidRPr="000A3EE1" w:rsidRDefault="000A3EE1" w:rsidP="000A3EE1">
      <w:r w:rsidRPr="000A3EE1">
        <w:rPr>
          <w:b/>
          <w:bCs/>
        </w:rPr>
        <w:t>University of Michigan Medical School</w:t>
      </w:r>
      <w:r w:rsidRPr="000A3EE1">
        <w:br/>
        <w:t>M.D., Internal Medicine/Oncology – 2008</w:t>
      </w:r>
    </w:p>
    <w:p w14:paraId="2ABA06B6" w14:textId="77777777" w:rsidR="000A3EE1" w:rsidRPr="000A3EE1" w:rsidRDefault="000A3EE1" w:rsidP="000A3EE1">
      <w:r w:rsidRPr="000A3EE1">
        <w:rPr>
          <w:b/>
          <w:bCs/>
        </w:rPr>
        <w:t>University of Rochester</w:t>
      </w:r>
      <w:r w:rsidRPr="000A3EE1">
        <w:br/>
        <w:t>B.S. in Molecular Biology, Magna Cum Laude – 2003</w:t>
      </w:r>
    </w:p>
    <w:p w14:paraId="3DA04604" w14:textId="77777777" w:rsidR="000A3EE1" w:rsidRPr="000A3EE1" w:rsidRDefault="000A3EE1" w:rsidP="000A3EE1">
      <w:r w:rsidRPr="000A3EE1">
        <w:pict w14:anchorId="78A29DF0">
          <v:rect id="_x0000_i1035" style="width:0;height:1.5pt" o:hralign="center" o:hrstd="t" o:hr="t" fillcolor="#a0a0a0" stroked="f"/>
        </w:pict>
      </w:r>
    </w:p>
    <w:p w14:paraId="48AACF62" w14:textId="77777777" w:rsidR="000A3EE1" w:rsidRPr="000A3EE1" w:rsidRDefault="000A3EE1" w:rsidP="000A3EE1">
      <w:pPr>
        <w:rPr>
          <w:b/>
          <w:bCs/>
        </w:rPr>
      </w:pPr>
      <w:r w:rsidRPr="000A3EE1">
        <w:rPr>
          <w:b/>
          <w:bCs/>
        </w:rPr>
        <w:t>AWARDS AND ACTIVITIES</w:t>
      </w:r>
    </w:p>
    <w:p w14:paraId="5BE2CAD3" w14:textId="77777777" w:rsidR="000A3EE1" w:rsidRPr="000A3EE1" w:rsidRDefault="000A3EE1" w:rsidP="000A3EE1">
      <w:r w:rsidRPr="000A3EE1">
        <w:t>2024 – Speaker, “Mucosal Delivery Platforms in Oncology,” ASCO Industry Session</w:t>
      </w:r>
      <w:r w:rsidRPr="000A3EE1">
        <w:br/>
        <w:t xml:space="preserve">2021 – Innovation in Oncology Development Award, </w:t>
      </w:r>
      <w:proofErr w:type="spellStart"/>
      <w:r w:rsidRPr="000A3EE1">
        <w:t>ImmuNexis</w:t>
      </w:r>
      <w:proofErr w:type="spellEnd"/>
      <w:r w:rsidRPr="000A3EE1">
        <w:t xml:space="preserve"> Therapeutics</w:t>
      </w:r>
      <w:r w:rsidRPr="000A3EE1">
        <w:br/>
        <w:t xml:space="preserve">2017 – Co-author in </w:t>
      </w:r>
      <w:r w:rsidRPr="000A3EE1">
        <w:rPr>
          <w:i/>
          <w:iCs/>
        </w:rPr>
        <w:t>Journal of Urologic Oncology</w:t>
      </w:r>
    </w:p>
    <w:p w14:paraId="306650DA" w14:textId="77777777" w:rsidR="000A3EE1" w:rsidRDefault="000A3EE1"/>
    <w:sectPr w:rsidR="000A3EE1" w:rsidSect="000A3E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A7E37"/>
    <w:multiLevelType w:val="multilevel"/>
    <w:tmpl w:val="C3F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D1056"/>
    <w:multiLevelType w:val="multilevel"/>
    <w:tmpl w:val="A92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75D7B"/>
    <w:multiLevelType w:val="multilevel"/>
    <w:tmpl w:val="249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172771">
    <w:abstractNumId w:val="1"/>
  </w:num>
  <w:num w:numId="2" w16cid:durableId="375203597">
    <w:abstractNumId w:val="2"/>
  </w:num>
  <w:num w:numId="3" w16cid:durableId="20579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E1"/>
    <w:rsid w:val="000A3EE1"/>
    <w:rsid w:val="002C5C05"/>
    <w:rsid w:val="007E7199"/>
    <w:rsid w:val="00A073D8"/>
    <w:rsid w:val="00C25AE1"/>
    <w:rsid w:val="00F0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0CE69"/>
  <w15:chartTrackingRefBased/>
  <w15:docId w15:val="{E08E3285-CBEB-4A21-81F3-C472E034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52FE8-B1E4-4328-9248-9C0845889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555</Words>
  <Characters>3890</Characters>
  <Application>Microsoft Office Word</Application>
  <DocSecurity>0</DocSecurity>
  <Lines>76</Lines>
  <Paragraphs>35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2025-05-15T15:41:00Z</dcterms:created>
  <dcterms:modified xsi:type="dcterms:W3CDTF">2025-05-15T15:44:00Z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6222e65c-e05a-4ca0-a09b-0b709b813343</vt:lpwstr>
  </property>
</Properties>
</file>