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9E7D" w14:textId="25F30527" w:rsidR="000B19FE" w:rsidRPr="000B19FE" w:rsidRDefault="000B19FE" w:rsidP="000B19F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 Candidate, MD</w:t>
      </w:r>
    </w:p>
    <w:p w14:paraId="64FFE0AF" w14:textId="282E3C20" w:rsidR="000B19FE" w:rsidRPr="000B19FE" w:rsidRDefault="000B19FE" w:rsidP="000B19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San Francisco, CA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Current Compensation: $425K</w:t>
      </w:r>
    </w:p>
    <w:p w14:paraId="475B95C5" w14:textId="77777777" w:rsidR="000B19FE" w:rsidRPr="000B19FE" w:rsidRDefault="000B19FE" w:rsidP="000B1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1F8D6FD9" w14:textId="77777777" w:rsidR="000B19FE" w:rsidRPr="000B19FE" w:rsidRDefault="000B19FE" w:rsidP="000B1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Board-certified Medical Oncologist with 10+ years of clinical development expertise in solid tumor CAR-T therapies and immuno-oncology drug development</w:t>
      </w:r>
    </w:p>
    <w:p w14:paraId="1008A40A" w14:textId="77777777" w:rsidR="000B19FE" w:rsidRPr="000B19FE" w:rsidRDefault="000B19FE" w:rsidP="000B1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Proven track record in IND submissions, Phase I/II study design, and regulatory strategy with collaborative leadership style and strong cross-functional team building capabilities</w:t>
      </w:r>
    </w:p>
    <w:p w14:paraId="3689BCB2" w14:textId="77777777" w:rsidR="000B19FE" w:rsidRPr="000B19FE" w:rsidRDefault="000B19FE" w:rsidP="000B1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Deep expertise in translational medicine, biomarker strategy, and clinical trial optimization for novel cell therapy platforms</w:t>
      </w:r>
    </w:p>
    <w:p w14:paraId="5D18C0D2" w14:textId="77777777" w:rsidR="000B19FE" w:rsidRPr="000B19FE" w:rsidRDefault="000B19FE" w:rsidP="000B1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19AA0F0F" w14:textId="77777777" w:rsidR="000B19FE" w:rsidRPr="000B19FE" w:rsidRDefault="000B19FE" w:rsidP="000B1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Nexus Cell Therapeutics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 January 2022 - Present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Director, Clinical Development</w:t>
      </w:r>
    </w:p>
    <w:p w14:paraId="2C1072F7" w14:textId="77777777" w:rsidR="000B19FE" w:rsidRPr="000B19FE" w:rsidRDefault="000B19FE" w:rsidP="000B1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Lead comprehensive clinical development strategy for 3 solid tumor CAR-T programs from preclinical through Phase II, resulting in 2 successful IND submissions with FDA approval within standard review timelines</w:t>
      </w:r>
    </w:p>
    <w:p w14:paraId="0E173045" w14:textId="77777777" w:rsidR="000B19FE" w:rsidRPr="000B19FE" w:rsidRDefault="000B19FE" w:rsidP="000B1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Design and execute complex Phase I dose-escalation studies for novel CAR-T constructs targeting mesothelin and EGFR in solid tumors, implementing innovative 3+3 and BOIN designs to optimize patient safety while accelerating dose finding</w:t>
      </w:r>
    </w:p>
    <w:p w14:paraId="2AA385EF" w14:textId="77777777" w:rsidR="000B19FE" w:rsidRPr="000B19FE" w:rsidRDefault="000B19FE" w:rsidP="000B1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Establish and maintain key opinion leader network across 15 major cancer centers, facilitating rapid patient enrollment that exceeded targets by 40% through strategic investigator relationship management</w:t>
      </w:r>
    </w:p>
    <w:p w14:paraId="5E55E482" w14:textId="77777777" w:rsidR="000B19FE" w:rsidRPr="000B19FE" w:rsidRDefault="000B19FE" w:rsidP="000B1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Build and manage high-performing cross-functional team of 12 clinical operations, regulatory, and medical affairs professionals, fostering collaborative environment that consistently delivers milestones ahead of schedule</w:t>
      </w:r>
    </w:p>
    <w:p w14:paraId="202C4265" w14:textId="77777777" w:rsidR="000B19FE" w:rsidRPr="000B19FE" w:rsidRDefault="000B19FE" w:rsidP="000B1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Author 8 peer-reviewed publications in top-tier oncology journals and present data at 12 international oncology conferences, establishing company as thought leader in solid tumor CAR-T development</w:t>
      </w:r>
    </w:p>
    <w:p w14:paraId="5CFBD722" w14:textId="77777777" w:rsidR="000B19FE" w:rsidRPr="000B19FE" w:rsidRDefault="000B19FE" w:rsidP="000B1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Collaborate directly with FDA on regulatory strategy development, securing breakthrough therapy designation for lead asset through strategic endpoint selection and compelling clinical data packages</w:t>
      </w:r>
    </w:p>
    <w:p w14:paraId="44792744" w14:textId="77777777" w:rsidR="000B19FE" w:rsidRPr="000B19FE" w:rsidRDefault="000B19FE" w:rsidP="000B1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Implement innovative biomarker strategy incorporating ctDNA monitoring and immune profiling, reducing patient screening time by 25% while improving patient selection for enhanced efficacy outcomes</w:t>
      </w:r>
    </w:p>
    <w:p w14:paraId="76E43577" w14:textId="77777777" w:rsidR="000B19FE" w:rsidRPr="000B19FE" w:rsidRDefault="000B19FE" w:rsidP="000B1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Develop comprehensive clinical development plans integrating manufacturing scale-up requirements, regulatory milestones, and commercial strategy to ensure seamless program execution across all phases</w:t>
      </w:r>
    </w:p>
    <w:p w14:paraId="2BE4074C" w14:textId="77777777" w:rsidR="000B19FE" w:rsidRPr="000B19FE" w:rsidRDefault="000B19FE" w:rsidP="000B1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Veridian Biosciences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 June 2018 - December 2021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Medical Director, Oncology</w:t>
      </w:r>
    </w:p>
    <w:p w14:paraId="65F8CC31" w14:textId="77777777" w:rsidR="000B19FE" w:rsidRPr="000B19FE" w:rsidRDefault="000B19FE" w:rsidP="000B1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Managed diversified clinical portfolio of 4 early-stage immuno-oncology programs in solid tumors, overseeing budgets exceeding $50M annually while maintaining strict timelines and quality standards</w:t>
      </w:r>
    </w:p>
    <w:p w14:paraId="14BE6EFC" w14:textId="77777777" w:rsidR="000B19FE" w:rsidRPr="000B19FE" w:rsidRDefault="000B19FE" w:rsidP="000B1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Led successful transition of lead compound from Phase I to Phase II with 65% enrollment completion ahead of schedule through strategic site selection, patient identification initiatives, and investigator training programs</w:t>
      </w:r>
    </w:p>
    <w:p w14:paraId="68B484B3" w14:textId="77777777" w:rsidR="000B19FE" w:rsidRPr="000B19FE" w:rsidRDefault="000B19FE" w:rsidP="000B1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Developed comprehensive Target Product Profile and Clinical Development Plans for 2 novel checkpoint inhibitor combinations, incorporating competitive landscape analysis and differentiation strategies</w:t>
      </w:r>
    </w:p>
    <w:p w14:paraId="7053A7FB" w14:textId="77777777" w:rsidR="000B19FE" w:rsidRPr="000B19FE" w:rsidRDefault="000B19FE" w:rsidP="000B1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Coordinated extensively with business development team on 3 licensing deals worth $150M+ in milestones, providing clinical due diligence, risk assessment, and strategic development recommendations</w:t>
      </w:r>
    </w:p>
    <w:p w14:paraId="54604A09" w14:textId="77777777" w:rsidR="000B19FE" w:rsidRPr="000B19FE" w:rsidRDefault="000B19FE" w:rsidP="000B1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Mentored 6 junior physicians and clinical scientists in GCP principles and drug development methodologies, establishing formal training program that improved team capability and reduced external consultant costs</w:t>
      </w:r>
    </w:p>
    <w:p w14:paraId="0D050CDF" w14:textId="77777777" w:rsidR="000B19FE" w:rsidRPr="000B19FE" w:rsidRDefault="000B19FE" w:rsidP="000B1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Established clinical biomarker laboratory partnerships and managed vendor relationships, implementing quality oversight processes that ensured data integrity while reducing external lab costs by 30%</w:t>
      </w:r>
    </w:p>
    <w:p w14:paraId="15CB7313" w14:textId="77777777" w:rsidR="000B19FE" w:rsidRPr="000B19FE" w:rsidRDefault="000B19FE" w:rsidP="000B1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Designed adaptive trial methodologies and statistical analysis plans in collaboration with biostatistics team, optimizing study designs for efficient decision-making and resource allocation</w:t>
      </w:r>
    </w:p>
    <w:p w14:paraId="390A4BE3" w14:textId="77777777" w:rsidR="000B19FE" w:rsidRPr="000B19FE" w:rsidRDefault="000B19FE" w:rsidP="000B1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Led cross-functional steering committees for program governance, ensuring alignment between clinical, regulatory, manufacturing, and commercial teams throughout development lifecycle</w:t>
      </w:r>
    </w:p>
    <w:p w14:paraId="5B0E0ED7" w14:textId="77777777" w:rsidR="000B19FE" w:rsidRPr="000B19FE" w:rsidRDefault="000B19FE" w:rsidP="000B1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Meridian Cancer Institute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 July 2015 - May 2018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Director, Clinical Research</w:t>
      </w:r>
    </w:p>
    <w:p w14:paraId="455C43F8" w14:textId="77777777" w:rsidR="000B19FE" w:rsidRPr="000B19FE" w:rsidRDefault="000B19FE" w:rsidP="000B1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Designed and executed investigator-initiated trials in collaboration with Stanford and UCSF, managing complex multi-site studies while ensuring consistent protocol adherence and data quality</w:t>
      </w:r>
    </w:p>
    <w:p w14:paraId="7FA85037" w14:textId="77777777" w:rsidR="000B19FE" w:rsidRPr="000B19FE" w:rsidRDefault="000B19FE" w:rsidP="000B1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Managed clinical operations for 6 concurrent Phase I/II studies in solid tumor immunotherapy, overseeing patient enrollment, safety monitoring, and data management across diverse patient populations</w:t>
      </w:r>
    </w:p>
    <w:p w14:paraId="771A46FD" w14:textId="77777777" w:rsidR="000B19FE" w:rsidRPr="000B19FE" w:rsidRDefault="000B19FE" w:rsidP="000B1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Established clinical biomarker laboratory partnerships with leading academic institutions, implementing standardized sample processing and analysis protocols that reduced external lab costs by 30%</w:t>
      </w:r>
    </w:p>
    <w:p w14:paraId="46223F3C" w14:textId="77777777" w:rsidR="000B19FE" w:rsidRPr="000B19FE" w:rsidRDefault="000B19FE" w:rsidP="000B1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Developed comprehensive safety monitoring procedures and led Data Safety Monitoring Board interactions, ensuring patient safety while maintaining study integrity and regulatory compliance</w:t>
      </w:r>
    </w:p>
    <w:p w14:paraId="2AE0CD38" w14:textId="77777777" w:rsidR="000B19FE" w:rsidRPr="000B19FE" w:rsidRDefault="000B19FE" w:rsidP="000B1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Collaborated with translational research teams to integrate correlative studies into clinical protocols, generating valuable mechanistic insights that informed subsequent program development</w:t>
      </w:r>
    </w:p>
    <w:p w14:paraId="0D2DB0D1" w14:textId="77777777" w:rsidR="000B19FE" w:rsidRPr="000B19FE" w:rsidRDefault="000B19FE" w:rsidP="000B1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Authored clinical protocols and regulatory submissions, working closely with regulatory affairs to ensure IND compliance and successful FDA interactions</w:t>
      </w:r>
    </w:p>
    <w:p w14:paraId="2CE502BE" w14:textId="77777777" w:rsidR="000B19FE" w:rsidRPr="000B19FE" w:rsidRDefault="000B19FE" w:rsidP="000B1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Medical School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 2007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of Medicine (MD)</w:t>
      </w:r>
    </w:p>
    <w:p w14:paraId="68A6EB11" w14:textId="77777777" w:rsidR="000B19FE" w:rsidRPr="000B19FE" w:rsidRDefault="000B19FE" w:rsidP="000B1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T.H. Chan School of Public Health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 2009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of Public Health (MPH), Epidemiology</w:t>
      </w:r>
    </w:p>
    <w:p w14:paraId="6694E648" w14:textId="77777777" w:rsidR="000B19FE" w:rsidRPr="000B19FE" w:rsidRDefault="000B19FE" w:rsidP="000B1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California, Berkeley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 2003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 in Molecular and Cell Biology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, Magna Cum Laude</w:t>
      </w:r>
    </w:p>
    <w:p w14:paraId="795342B3" w14:textId="77777777" w:rsidR="000B19FE" w:rsidRPr="000B19FE" w:rsidRDefault="000B19FE" w:rsidP="000B1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CERTIFICATIONS &amp; TRAINING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Massachusetts General Hospital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 2007-2010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Medicine Residency</w:t>
      </w:r>
    </w:p>
    <w:p w14:paraId="0A32D879" w14:textId="77777777" w:rsidR="000B19FE" w:rsidRPr="000B19FE" w:rsidRDefault="000B19FE" w:rsidP="000B1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Dana-Farber Cancer Institute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 2010-2013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Hematology/Oncology Fellowship</w:t>
      </w:r>
    </w:p>
    <w:p w14:paraId="5BA74EC8" w14:textId="77777777" w:rsidR="000B19FE" w:rsidRPr="000B19FE" w:rsidRDefault="000B19FE" w:rsidP="000B1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 2023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Rising Star Award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, American Society of Clinical Oncology 2022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 xml:space="preserve">, CAR-T Cell Therapy Summit, Boston 2021 </w:t>
      </w:r>
      <w:r w:rsidRPr="000B19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Investigator Award</w:t>
      </w:r>
      <w:r w:rsidRPr="000B19FE">
        <w:rPr>
          <w:rFonts w:ascii="Times New Roman" w:eastAsia="Times New Roman" w:hAnsi="Times New Roman" w:cs="Times New Roman"/>
          <w:kern w:val="0"/>
          <w14:ligatures w14:val="none"/>
        </w:rPr>
        <w:t>, Immuno-Oncology Research Foundation</w:t>
      </w:r>
    </w:p>
    <w:p w14:paraId="18112484" w14:textId="77777777" w:rsidR="003E5CA4" w:rsidRDefault="003E5CA4"/>
    <w:sectPr w:rsidR="003E5CA4" w:rsidSect="000B19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11F"/>
    <w:multiLevelType w:val="multilevel"/>
    <w:tmpl w:val="9AF0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E4E7B"/>
    <w:multiLevelType w:val="multilevel"/>
    <w:tmpl w:val="1E34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97B80"/>
    <w:multiLevelType w:val="multilevel"/>
    <w:tmpl w:val="60E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35ED8"/>
    <w:multiLevelType w:val="multilevel"/>
    <w:tmpl w:val="A162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053473">
    <w:abstractNumId w:val="0"/>
  </w:num>
  <w:num w:numId="2" w16cid:durableId="884146265">
    <w:abstractNumId w:val="2"/>
  </w:num>
  <w:num w:numId="3" w16cid:durableId="1064370937">
    <w:abstractNumId w:val="3"/>
  </w:num>
  <w:num w:numId="4" w16cid:durableId="613102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FE"/>
    <w:rsid w:val="000B19FE"/>
    <w:rsid w:val="001D4820"/>
    <w:rsid w:val="003E5CA4"/>
    <w:rsid w:val="00444241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7D0824"/>
  <w15:chartTrackingRefBased/>
  <w15:docId w15:val="{FCB9C70B-6EA7-4E9E-947E-0E4DF64F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0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721</Words>
  <Characters>5120</Characters>
  <Application>Microsoft Office Word</Application>
  <DocSecurity>0</DocSecurity>
  <Lines>42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2025-07-15T15:27:00Z</dcterms:created>
  <dcterms:modified xsi:type="dcterms:W3CDTF">2025-07-15T15:29:00Z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917f4fd5-1b2f-4543-9c5d-792bf64cb30a</vt:lpwstr>
  </property>
</Properties>
</file>