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CONFIDENTIAL CANDIDATE – BLINDED RESUME</w:t>
      </w:r>
    </w:p>
    <w:p>
      <w:r>
        <w:t>Name: CONFIDENTIAL CANDIDATE – BOSTON AREA</w:t>
      </w:r>
    </w:p>
    <w:p>
      <w:r>
        <w:t>Current Role: Executive Medical Director, Clinical Development – Top-20 Pharma (Immunology &amp; Rare Disease)</w:t>
      </w:r>
    </w:p>
    <w:p>
      <w:r>
        <w:t>Location: Greater Boston (easily commutable to New Haven, CT; hybrid OK)</w:t>
      </w:r>
    </w:p>
    <w:p>
      <w:r>
        <w:t>Compensation Target: $365K base</w:t>
      </w:r>
    </w:p>
    <w:p>
      <w:pPr>
        <w:pStyle w:val="Heading2"/>
      </w:pPr>
      <w:r>
        <w:t>Professional Highlights</w:t>
      </w:r>
    </w:p>
    <w:p>
      <w:r>
        <w:t>• 15 years’ experience in late-stage clinical development, with focus on mast cell diseases, atopic dermatitis, and rare allergic disorders.</w:t>
      </w:r>
    </w:p>
    <w:p>
      <w:r>
        <w:t>• Led global Phase 3 program from protocol development through successful NDA submission; directly authored safety sections of regulatory dossiers.</w:t>
      </w:r>
    </w:p>
    <w:p>
      <w:r>
        <w:t>• Deep experience in medical training for investigators and site staff; recognized for elevating trial data quality and reducing query rates by &gt;25%.</w:t>
      </w:r>
    </w:p>
    <w:p>
      <w:r>
        <w:t>• Established strategic KOL networks in allergy/immunology, facilitating rapid patient recruitment and high trial retention.</w:t>
      </w:r>
    </w:p>
    <w:p>
      <w:r>
        <w:t>• Brings commercial awareness—collaborated with launch teams to align medical strategy with market access and payer needs.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