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CONFIDENTIAL CANDIDATE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San Francisco Bay Area  |  Ophthalmology Clinical Development  |  Target: ~$305K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Clinical development leader with 16+ years of experience in ophthalmology and retinal disease drug development. Deep expertise in early-phase clinical trial design (Phase 1/2), IND/CTA preparation, and retinal imaging endpoint strategy. Proven track record building clinical teams from the ground up at development-stage biotechs. Extensive experience with intravitreal therapies, reading center partnerships, and FDA/EMA interactions. Seeking VP-level opportunity to lead a clinical franchise at an innovative ophthalmic company.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PROFESSIONAL EXPERIENCE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Ophthalmic Therapeutics</w:t>
      </w:r>
      <w:r>
        <w:rPr>
          <w:rFonts w:ascii="Calibri" w:cs="Calibri" w:eastAsia="Calibri" w:hAnsi="Calibri"/>
          <w:sz w:val="22"/>
          <w:szCs w:val="22"/>
        </w:rPr>
        <w:t xml:space="preserve">  |  San Francisco, CA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Associate Director, Clinical Development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2020 -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clinical development strategy for two retinal disease programs (Phase 1/2), including dry AMD and inherited retinal dystrophy assets targeting novel drusen clearance and neuroprotection pathways.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and executed a first-in-human Phase 1 multiple ascending dose study for an intravitreal injection program, enrolling 48 patients across 4 sites in 11 months - 3 months ahead of projected timeline.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the clinical development function from 0 to 6 FTEs, hiring clinical scientists, medical monitors, and clinical imaging specialists.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Authored IND submission clinical sections, resulting in FDA clearance to proceed with no clinical holds across 2 programs.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Established partnerships with 3 retinal imaging reading centers (OCT, FAF, color fundus photography) and defined primary imaging endpoints for Phase 1/2 protocols.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cross-functional collaboration with CMC, nonclinical, regulatory, and biostatistics teams to align development timelines with board milestones.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Represented company at scientific advisory boards and KOL meetings, including presentations at ARVO and AAO annual conferences.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Developed regulatory engagement strategy for OUS (ex-US) Phase 1 study initiation at 2 European sites, securing CTA approvals within 90 days.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Biosciences</w:t>
      </w:r>
      <w:r>
        <w:rPr>
          <w:rFonts w:ascii="Calibri" w:cs="Calibri" w:eastAsia="Calibri" w:hAnsi="Calibri"/>
          <w:sz w:val="22"/>
          <w:szCs w:val="22"/>
        </w:rPr>
        <w:t xml:space="preserve">  |  South San Francisco, CA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Senior Manager, Clinical Development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2016 - 2020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clinical science activities for a Phase 2 randomized controlled trial in wet AMD (anti-VEGF combination therapy), overseeing protocol amendments, safety monitoring, and data interpretation.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preparation of clinical study reports for 3 completed studies, supporting regulatory submission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Partnered with retinal imaging vendors to implement automated drusen volume quantification and geographic atrophy measurement protocols.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Coordinated Data Safety Monitoring Board (DSMB) interactions for 2 concurrent retinal disease trials.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Contributed to successful Series B fundraising ($85M) by preparing clinical development timelines and investor presentation materials.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Pharma</w:t>
      </w:r>
      <w:r>
        <w:rPr>
          <w:rFonts w:ascii="Calibri" w:cs="Calibri" w:eastAsia="Calibri" w:hAnsi="Calibri"/>
          <w:sz w:val="22"/>
          <w:szCs w:val="22"/>
        </w:rPr>
        <w:t xml:space="preserve">  |  Irvine, CA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Clinical Scientist II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2012 - 2016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Supported clinical trial design and execution for 3 ophthalmic programs spanning glaucoma, dry eye, and posterior segment diseases.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Authored and reviewed protocols, informed consent forms, and clinical sections of IND annual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relationships with 12 clinical trial sites and coordinated investigator meetings for a Phase 2 glaucoma trial (180 patients, 6 countries).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Performed medical data review and signal detection for intravitreal injection safety data across 2 programs.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CRO</w:t>
      </w:r>
      <w:r>
        <w:rPr>
          <w:rFonts w:ascii="Calibri" w:cs="Calibri" w:eastAsia="Calibri" w:hAnsi="Calibri"/>
          <w:sz w:val="22"/>
          <w:szCs w:val="22"/>
        </w:rPr>
        <w:t xml:space="preserve">  |  Durham, NC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Clinical Research Associate II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2009 - 2012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Monitored 15+ ophthalmology and retinal disease clinical trial sites across Phase 1-3 studies for sponsor companies.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Conducted source document verification, protocol deviation tracking, and site quality assessments for ICH-GCP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Promoted from CRA I to CRA II within 18 months based on site management performance and audit readiness.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PhD, Pharmacology</w:t>
      </w:r>
      <w:r>
        <w:rPr>
          <w:rFonts w:ascii="Calibri" w:cs="Calibri" w:eastAsia="Calibri" w:hAnsi="Calibri"/>
          <w:sz w:val="22"/>
          <w:szCs w:val="22"/>
        </w:rPr>
        <w:t xml:space="preserve">  |  University of California, San Francisco  |  2009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BS, Biology</w:t>
      </w:r>
      <w:r>
        <w:rPr>
          <w:rFonts w:ascii="Calibri" w:cs="Calibri" w:eastAsia="Calibri" w:hAnsi="Calibri"/>
          <w:sz w:val="22"/>
          <w:szCs w:val="22"/>
        </w:rPr>
        <w:t xml:space="preserve">  |  University of North Carolina, Chapel Hill  |  2004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CERTIFICATIONS &amp; PROFESSIONAL AFFILIATIONS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Association for Research in Vision and Ophthalmology (ARVO) - Member since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American Academy of Ophthalmology (AAO) - Associate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Regulatory Affairs Professionals Society (RAPS) -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ICH-GCP Certified (current)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SELECTED PUBLICATIONS &amp; PRESENTATIONS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Co-authored 6 peer-reviewed publications in Ophthalmology, Retina, and Investigative Ophthalmology &amp; Visual Science (IOVS); total citations: 142.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Presented 4 posters at ARVO Annual Meeting (2018-2023) on retinal imaging endpoints and intravitreal drug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Contributing author to FDA Guidance Response: Patient-Focused Drug Development in Retinal Diseases (2022).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Clinical Trial Design (Phase 1-3) | IND/CTA/NDA Submissions | FDA/EMA Regulatory Interactions | Retinal Imaging Endpoints (OCT, FAF, Drusen Volume) | Intravitreal Drug Delivery | Reading Center Management | DSMB Oversight | Cross-Functional Team Leadership | ICH-GCP | CDISC/SDTM | Medidata Rave | OUS Clinical Operations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2026-03-16T16:15:32.266Z</dcterms:created>
  <dcterms:modified xsi:type="dcterms:W3CDTF">2026-03-16T16:15:32.267Z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