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CONFIDENTIAL CANDIDATE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Commutable to San Francisco  |  Ophthalmology / AMD Clinical Development  |  Target: ~$340K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Senior clinical development executive with 19+ years of experience leading ophthalmic drug development programs from IND through NDA/BLA submission. Recognized authority in retinal disease clinical strategy with specific depth in dry AMD, geographic atrophy, and retinal degeneration. Demonstrated success designing and executing OUS Phase 1/2 studies across FDA/EMA jurisdictions. Extensive KOL network in the retina space. Proven track record building and scaling clinical development teams at both large pharma and development-stage biotech organizations. Experience with intravitreal injection and sustained-release implant delivery platforms.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PROFESSIONAL EXPERIENCE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Pharma</w:t>
      </w:r>
      <w:r>
        <w:rPr>
          <w:rFonts w:ascii="Calibri" w:cs="Calibri" w:eastAsia="Calibri" w:hAnsi="Calibri"/>
          <w:sz w:val="22"/>
          <w:szCs w:val="22"/>
        </w:rPr>
        <w:t xml:space="preserve">  |  San Mateo,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Director, Clinical Development - Ophthalmology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2019 -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the clinical development strategy for a portfolio of 4 ophthalmic programs including dry AMD (drusen reduction), geographic atrophy (complement inhibition), diabetic retinopathy, and retinal vein occlusion.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and executed a Phase 1/2 OUS first-in-human study for a novel dry AMD therapy across 6 sites in Australia and New Zealand, completing enrollment 2 months ahead of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Directed FDA and EMA regulatory interactions including 3 Pre-IND meetings, 2 End-of-Phase-1 meetings, and 1 Scientific Advice procedure - all resulting in alignment on Phase 2 designs.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the ophthalmology clinical development team from 3 to 14 FTEs over 4 years, including clinical scientists, medical monitors, clinical imaging specialists, and regulatory liaison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Established partnerships with 5 retinal imaging reading centers worldwide and pioneered a proprietary drusen volume quantification protocol adopted as primary endpoint in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$18M annual clinical development budget across 3 active programs, delivering all milestones within 5% of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clinical sections of 2 IND submissions and 1 NDA amendment, resulting in FDA clearance with no clinical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Served as company representative at 12 KOL advisory boards and presented at ARVO, AAO, Retina Society, and Macula Society annual meetings (2019-2025).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Co-led due diligence clinical assessment for 2 ophthalmic pipeline acquisition targets ($120M and $85M deal values), evaluating clinical data packages, regulatory risk, and development timelines.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Therapeutics</w:t>
      </w:r>
      <w:r>
        <w:rPr>
          <w:rFonts w:ascii="Calibri" w:cs="Calibri" w:eastAsia="Calibri" w:hAnsi="Calibri"/>
          <w:sz w:val="22"/>
          <w:szCs w:val="22"/>
        </w:rPr>
        <w:t xml:space="preserve">  |  Redwood City,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Director, Clinical Development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2014 - 2019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clinical development for a sustained-release intravitreal implant program in retinal diseases, managing the program from Phase 1 through Phase 2b readout.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adaptive Phase 2 trial for geographic atrophy with imaging-based endpoints (OCT, FAF, drusen volume), enrolling 210 patients across 18 sites in US and EU.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CRO relationships with 2 global contract research organizations and 4 specialty ophthalmology CROs.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Coordinated DSMB and independent data monitoring committee activities for 3 concurrent retinal disease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Contributed to successful Series C fundraising ($140M) by preparing clinical strategy presentations and investor data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cross-functional team of 22 members spanning clinical ops, data management, biostatistics, CMC, and regulatory to execute integrated development plan.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Biosciences</w:t>
      </w:r>
      <w:r>
        <w:rPr>
          <w:rFonts w:ascii="Calibri" w:cs="Calibri" w:eastAsia="Calibri" w:hAnsi="Calibri"/>
          <w:sz w:val="22"/>
          <w:szCs w:val="22"/>
        </w:rPr>
        <w:t xml:space="preserve">  |  Irvine, CA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Associate Director, Clinical Development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2011 - 2014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clinical science activities for 2 ophthalmic programs: a Phase 2 wet AMD combination therapy trial and a Phase 1 glaucoma neuroprotection study.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Authored 4 clinical study reports and 2 protocol amendments for retinal disease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 preparation of clinical sections for IND annual reports submitted to FDA.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relationships with 20+ retinal disease KOLs across US, EU, and Asia-Pacific for trial site selection and scientific advisory input.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Pharma</w:t>
      </w:r>
      <w:r>
        <w:rPr>
          <w:rFonts w:ascii="Calibri" w:cs="Calibri" w:eastAsia="Calibri" w:hAnsi="Calibri"/>
          <w:sz w:val="22"/>
          <w:szCs w:val="22"/>
        </w:rPr>
        <w:t xml:space="preserve">  |  Fort Worth, TX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Clinical Scientist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2008 - 2011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clinical trial design and execution for ophthalmic programs in glaucoma and posterior segment diseases (Phase 2/3).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medical data review and safety signal detection for intravitreal injection studies across 3 programs.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Coordinated investigator meetings and site training for a multinational Phase 3 trial (320 patients, 8 countries).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Confidential CRO</w:t>
      </w:r>
      <w:r>
        <w:rPr>
          <w:rFonts w:ascii="Calibri" w:cs="Calibri" w:eastAsia="Calibri" w:hAnsi="Calibri"/>
          <w:sz w:val="22"/>
          <w:szCs w:val="22"/>
        </w:rPr>
        <w:t xml:space="preserve">  |  Research Triangle Park, NC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Clinical Scientist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|  2006 - 2008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Provided clinical science support for ophthalmology and CNS sponsor studies across Phase 1-3.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Performed protocol review, medical monitoring support, and safety narrative authoring for intravitreal therapy programs.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PhD, Neuroscience</w:t>
      </w:r>
      <w:r>
        <w:rPr>
          <w:rFonts w:ascii="Calibri" w:cs="Calibri" w:eastAsia="Calibri" w:hAnsi="Calibri"/>
          <w:sz w:val="22"/>
          <w:szCs w:val="22"/>
        </w:rPr>
        <w:t xml:space="preserve">  |  Duke University  |  2006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BS, Biochemistry</w:t>
      </w:r>
      <w:r>
        <w:rPr>
          <w:rFonts w:ascii="Calibri" w:cs="Calibri" w:eastAsia="Calibri" w:hAnsi="Calibri"/>
          <w:sz w:val="22"/>
          <w:szCs w:val="22"/>
        </w:rPr>
        <w:t xml:space="preserve">  |  University of Texas at Austin  |  2001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CERTIFICATIONS &amp; PROFESSIONAL AFFILIATIONS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Association for Research in Vision and Ophthalmology (ARVO) - Member since 2007; Abstract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American Academy of Ophthalmology (AAO) - Associate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Macula Society - Associate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Drug Information Association (DIA) -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ICH-GCP Certified (current)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SELECTED PUBLICATIONS &amp; PRESENTATIONS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Co-authored 14 peer-reviewed publications in Ophthalmology, JAMA Ophthalmology, Retina, and IOVS; total citations: 387.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First author on 3 publications covering retinal imaging endpoints in dry AMD clinical trials and sustained-release intravitreal drug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Presented 9 posters and 2 oral presentations at ARVO, AAO, and Retina Society annual meetings (2012-2025).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Invited speaker at 2024 Macula Society Annual Meeting: 'Imaging-Based Endpoints in Early Dry AMD: Challenges and Opportunities.'</w:t>
      </w:r>
    </w:p>
    <w:p>
      <w:pPr>
        <w:pBdr>
          <w:bottom w:val="single" w:color="000000" w:sz="4" w:space="1"/>
        </w:pBdr>
        <w:spacing w:after="100" w:before="280"/>
      </w:pPr>
      <w:r>
        <w:rPr>
          <w:rFonts w:ascii="Calibri" w:cs="Calibri" w:eastAsia="Calibri" w:hAnsi="Calibri"/>
          <w:b/>
          <w:bCs/>
          <w:sz w:val="24"/>
          <w:szCs w:val="24"/>
          <w:u w:val="single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Clinical Development Strategy (Phase 1-NDA) | IND/CTA/NDA/BLA Submissions | FDA/EMA Regulatory Interactions &amp; Scientific Advice | Retinal Imaging Endpoints (OCT, FAF, Drusen Volume Quantification, Geographic Atrophy Measurement) | Intravitreal Injection &amp; Sustained-Release Implant Programs | OUS Clinical Operations (EU, APAC) | Reading Center Management | KOL Network Development | DSMB/IDMC Oversight | Due Diligence &amp; Pipeline Assessment | Budget Management | Cross-Functional Team Leadership (22+ members) | ICH-GCP | CDISC/SDTM | Adaptive Trial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2026-03-16T16:15:32.530Z</dcterms:created>
  <dcterms:modified xsi:type="dcterms:W3CDTF">2026-03-16T16:15:32.531Z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