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68AE" w14:textId="77777777" w:rsidR="009C2644" w:rsidRPr="00AE14FD" w:rsidRDefault="00AE14FD">
      <w:pPr>
        <w:spacing w:after="40"/>
        <w:jc w:val="center"/>
      </w:pPr>
      <w:r w:rsidRPr="00AE14FD">
        <w:rPr>
          <w:b/>
          <w:bCs/>
          <w:sz w:val="32"/>
          <w:szCs w:val="32"/>
        </w:rPr>
        <w:t>CONFIDENTIAL CANDIDATE</w:t>
      </w:r>
    </w:p>
    <w:p w14:paraId="32358D0A" w14:textId="23906A35" w:rsidR="009C2644" w:rsidRPr="00AE14FD" w:rsidRDefault="00AE14FD">
      <w:pPr>
        <w:pBdr>
          <w:bottom w:val="single" w:sz="2" w:space="1" w:color="1F3864"/>
        </w:pBdr>
        <w:spacing w:after="120"/>
        <w:jc w:val="center"/>
      </w:pPr>
      <w:r w:rsidRPr="00AE14FD">
        <w:rPr>
          <w:sz w:val="20"/>
          <w:szCs w:val="20"/>
        </w:rPr>
        <w:t xml:space="preserve">Greater Boston, MA </w:t>
      </w:r>
    </w:p>
    <w:p w14:paraId="4B708A74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PROFESSIONAL SUMMARY</w:t>
      </w:r>
    </w:p>
    <w:p w14:paraId="377C6B7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Senior clinical data management executive with 15+ years of progressive leadership spanning Top 20 Pharma, venture-backed clinical-stage biotech, and global CRO environments across CNS, rare disease, oncology, and gene therapy indications</w:t>
      </w:r>
    </w:p>
    <w:p w14:paraId="3B33A094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Built CDM functions from the ground up at 2 biotech organizations, establishing governance frameworks, SOPs, vendor ecosystems, quality systems, and talent infrastructure that supported programs from IND through NDA/BLA approval</w:t>
      </w:r>
    </w:p>
    <w:p w14:paraId="46A41A44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Led enterprise EDC platform migrations, CDISC implementation programs, and risk-based quality management (RBQM) frameworks aligned with ICH E6(R3) and ICH E8(R1) guidance</w:t>
      </w:r>
    </w:p>
    <w:p w14:paraId="20908E01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Proven regulatory submission track record with direct CDM oversight of 2 NDA filings (both first-cycle approval), 1 BLA filing, and 1 MAA filing, including orphan drug designations in rare disease</w:t>
      </w:r>
    </w:p>
    <w:p w14:paraId="64A4740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Recognized for strategic vision, executive presence, and ability to build and retain high-performing global teams (14+ direct/indirect reports across US, EU, and APAC); passionate advocate for innovation in data capture, AI-enabled data review, and digital health technology integration</w:t>
      </w:r>
    </w:p>
    <w:p w14:paraId="1404558A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PROFESSIONAL EXPERIENCE</w:t>
      </w:r>
    </w:p>
    <w:p w14:paraId="05524190" w14:textId="77777777" w:rsidR="009C2644" w:rsidRPr="00AE14FD" w:rsidRDefault="00AE14FD">
      <w:pPr>
        <w:spacing w:before="160" w:after="40"/>
      </w:pPr>
      <w:r w:rsidRPr="00AE14FD">
        <w:rPr>
          <w:b/>
          <w:bCs/>
        </w:rPr>
        <w:t xml:space="preserve">Confidential </w:t>
      </w:r>
      <w:proofErr w:type="gramStart"/>
      <w:r w:rsidRPr="00AE14FD">
        <w:rPr>
          <w:b/>
          <w:bCs/>
        </w:rPr>
        <w:t>Pharma</w:t>
      </w:r>
      <w:r w:rsidRPr="00AE14FD">
        <w:rPr>
          <w:i/>
          <w:iCs/>
          <w:sz w:val="20"/>
          <w:szCs w:val="20"/>
        </w:rPr>
        <w:t xml:space="preserve">  (</w:t>
      </w:r>
      <w:proofErr w:type="gramEnd"/>
      <w:r w:rsidRPr="00AE14FD">
        <w:rPr>
          <w:i/>
          <w:iCs/>
          <w:sz w:val="20"/>
          <w:szCs w:val="20"/>
        </w:rPr>
        <w:t>Top 20 Pharma, CNS Division)</w:t>
      </w:r>
    </w:p>
    <w:p w14:paraId="3FA9EE28" w14:textId="77777777" w:rsidR="009C2644" w:rsidRPr="00AE14FD" w:rsidRDefault="00AE14FD">
      <w:pPr>
        <w:spacing w:after="80"/>
      </w:pPr>
      <w:r w:rsidRPr="00AE14FD">
        <w:rPr>
          <w:i/>
          <w:iCs/>
          <w:sz w:val="20"/>
          <w:szCs w:val="20"/>
        </w:rPr>
        <w:t>Waltham, MA</w:t>
      </w:r>
    </w:p>
    <w:p w14:paraId="75223AE3" w14:textId="77777777" w:rsidR="009C2644" w:rsidRPr="00AE14FD" w:rsidRDefault="00AE14FD">
      <w:pPr>
        <w:spacing w:after="60"/>
      </w:pPr>
      <w:r w:rsidRPr="00AE14FD">
        <w:rPr>
          <w:b/>
          <w:bCs/>
          <w:sz w:val="21"/>
          <w:szCs w:val="21"/>
        </w:rPr>
        <w:t xml:space="preserve">Director, Clinical Data </w:t>
      </w:r>
      <w:proofErr w:type="gramStart"/>
      <w:r w:rsidRPr="00AE14FD">
        <w:rPr>
          <w:b/>
          <w:bCs/>
          <w:sz w:val="21"/>
          <w:szCs w:val="21"/>
        </w:rPr>
        <w:t>Management</w:t>
      </w:r>
      <w:r w:rsidRPr="00AE14FD">
        <w:rPr>
          <w:sz w:val="20"/>
          <w:szCs w:val="20"/>
        </w:rPr>
        <w:t xml:space="preserve">  |</w:t>
      </w:r>
      <w:proofErr w:type="gramEnd"/>
      <w:r w:rsidRPr="00AE14FD">
        <w:rPr>
          <w:sz w:val="20"/>
          <w:szCs w:val="20"/>
        </w:rPr>
        <w:t xml:space="preserve">  Apr 2020 - Present</w:t>
      </w:r>
    </w:p>
    <w:p w14:paraId="3D3A05CF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Led CDM strategy and execution for 6 CNS programs (Phase I-III) with combined risk-adjusted NPV exceeding $1.8B, encompassing Alzheimer's disease, treatment-resistant depression, and rare epilepsy indications</w:t>
      </w:r>
    </w:p>
    <w:p w14:paraId="75FDAD0A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Directed enterprise EDC migration from Oracle Clinical to Medidata Rave across 8 global studies (42 countries, 380+ sites), completing transition 3 months ahead of schedule and $400K under budget</w:t>
      </w:r>
    </w:p>
    <w:p w14:paraId="1FE4467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Built and managed global CDM team of 14 across US, EU, and APAC regions, achieving 96% employee engagement scores and zero involuntary turnover over 5 years; promoted 4 team members to senior roles</w:t>
      </w:r>
    </w:p>
    <w:p w14:paraId="13709B40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Implemented AI-enabled data review tools (Veeva CDB, custom NLP algorithms) reducing manual data cleaning effort by 45% and accelerating database lock timelines by average of 2 weeks per study</w:t>
      </w:r>
    </w:p>
    <w:p w14:paraId="6200B36D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Oversaw CDM activities for 2 NDA submissions, both achieving first-cycle FDA approval; one included rare disease orphan drug designation for novel mechanism-of-action CNS compound</w:t>
      </w:r>
    </w:p>
    <w:p w14:paraId="4FF039E2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Established risk-based quality management (RBQM) framework aligned with ICH E6(R3) across all active studies, including risk assessment matrices, KRIs, centralized statistical monitoring, and targeted source data verification protocols</w:t>
      </w:r>
    </w:p>
    <w:p w14:paraId="4DE97269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Managed $4.8M annual CDM budget covering CRO, EDC, </w:t>
      </w:r>
      <w:proofErr w:type="spellStart"/>
      <w:r w:rsidRPr="00AE14FD">
        <w:t>eCOA</w:t>
      </w:r>
      <w:proofErr w:type="spellEnd"/>
      <w:r w:rsidRPr="00AE14FD">
        <w:t>, central lab, genomics, and imaging vendor data management activities across all 6 programs</w:t>
      </w:r>
    </w:p>
    <w:p w14:paraId="0FD701C9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Served as CDM representative on internal governance committees (Portfolio Review Board, Clinical Operations Leadership Team) and external regulatory strategy discussions with FDA and EMA</w:t>
      </w:r>
    </w:p>
    <w:p w14:paraId="466C351D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Drove implementation of eSource pilot in collaboration with 12 clinical sites, capturing source-verified data directly into EDC and eliminating 60% of traditional source data verification workload</w:t>
      </w:r>
    </w:p>
    <w:p w14:paraId="403E831C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Partnered with IT and Clinical Innovation teams to evaluate and deploy wearable device data integration for Alzheimer's cognitive assessment program, processing 2.3M data points from 340 patients</w:t>
      </w:r>
    </w:p>
    <w:p w14:paraId="3938A064" w14:textId="77777777" w:rsidR="009C2644" w:rsidRPr="00AE14FD" w:rsidRDefault="00AE14FD">
      <w:pPr>
        <w:spacing w:before="160" w:after="40"/>
      </w:pPr>
      <w:r w:rsidRPr="00AE14FD">
        <w:rPr>
          <w:b/>
          <w:bCs/>
        </w:rPr>
        <w:t xml:space="preserve">Confidential </w:t>
      </w:r>
      <w:proofErr w:type="gramStart"/>
      <w:r w:rsidRPr="00AE14FD">
        <w:rPr>
          <w:b/>
          <w:bCs/>
        </w:rPr>
        <w:t>Therapeutics</w:t>
      </w:r>
      <w:r w:rsidRPr="00AE14FD">
        <w:rPr>
          <w:i/>
          <w:iCs/>
          <w:sz w:val="20"/>
          <w:szCs w:val="20"/>
        </w:rPr>
        <w:t xml:space="preserve">  (</w:t>
      </w:r>
      <w:proofErr w:type="gramEnd"/>
      <w:r w:rsidRPr="00AE14FD">
        <w:rPr>
          <w:i/>
          <w:iCs/>
          <w:sz w:val="20"/>
          <w:szCs w:val="20"/>
        </w:rPr>
        <w:t>Clinical-Stage Rare Disease Biotech, VC-Backed)</w:t>
      </w:r>
    </w:p>
    <w:p w14:paraId="4C6DE04A" w14:textId="77777777" w:rsidR="009C2644" w:rsidRPr="00AE14FD" w:rsidRDefault="00AE14FD">
      <w:pPr>
        <w:spacing w:after="80"/>
      </w:pPr>
      <w:r w:rsidRPr="00AE14FD">
        <w:rPr>
          <w:i/>
          <w:iCs/>
          <w:sz w:val="20"/>
          <w:szCs w:val="20"/>
        </w:rPr>
        <w:t>Cambridge, MA</w:t>
      </w:r>
    </w:p>
    <w:p w14:paraId="2E42470F" w14:textId="77777777" w:rsidR="009C2644" w:rsidRPr="00AE14FD" w:rsidRDefault="00AE14FD">
      <w:pPr>
        <w:spacing w:after="60"/>
      </w:pPr>
      <w:r w:rsidRPr="00AE14FD">
        <w:rPr>
          <w:b/>
          <w:bCs/>
          <w:sz w:val="21"/>
          <w:szCs w:val="21"/>
        </w:rPr>
        <w:t xml:space="preserve">Head, Clinical Data </w:t>
      </w:r>
      <w:proofErr w:type="gramStart"/>
      <w:r w:rsidRPr="00AE14FD">
        <w:rPr>
          <w:b/>
          <w:bCs/>
          <w:sz w:val="21"/>
          <w:szCs w:val="21"/>
        </w:rPr>
        <w:t>Management</w:t>
      </w:r>
      <w:r w:rsidRPr="00AE14FD">
        <w:rPr>
          <w:sz w:val="20"/>
          <w:szCs w:val="20"/>
        </w:rPr>
        <w:t xml:space="preserve">  |</w:t>
      </w:r>
      <w:proofErr w:type="gramEnd"/>
      <w:r w:rsidRPr="00AE14FD">
        <w:rPr>
          <w:sz w:val="20"/>
          <w:szCs w:val="20"/>
        </w:rPr>
        <w:t xml:space="preserve">  Jan 2018 - Mar 2020</w:t>
      </w:r>
    </w:p>
    <w:p w14:paraId="3FACCB90" w14:textId="77777777" w:rsidR="009C2644" w:rsidRPr="00AE14FD" w:rsidRDefault="00AE14FD">
      <w:pPr>
        <w:spacing w:after="60"/>
      </w:pPr>
      <w:r w:rsidRPr="00AE14FD">
        <w:rPr>
          <w:b/>
          <w:bCs/>
          <w:sz w:val="21"/>
          <w:szCs w:val="21"/>
        </w:rPr>
        <w:t xml:space="preserve">Senior Manager, Clinical Data </w:t>
      </w:r>
      <w:proofErr w:type="gramStart"/>
      <w:r w:rsidRPr="00AE14FD">
        <w:rPr>
          <w:b/>
          <w:bCs/>
          <w:sz w:val="21"/>
          <w:szCs w:val="21"/>
        </w:rPr>
        <w:t>Management</w:t>
      </w:r>
      <w:r w:rsidRPr="00AE14FD">
        <w:rPr>
          <w:sz w:val="20"/>
          <w:szCs w:val="20"/>
        </w:rPr>
        <w:t xml:space="preserve">  |</w:t>
      </w:r>
      <w:proofErr w:type="gramEnd"/>
      <w:r w:rsidRPr="00AE14FD">
        <w:rPr>
          <w:sz w:val="20"/>
          <w:szCs w:val="20"/>
        </w:rPr>
        <w:t xml:space="preserve">  Jan 2016 - Dec 2017</w:t>
      </w:r>
    </w:p>
    <w:p w14:paraId="630A273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lastRenderedPageBreak/>
        <w:t>Built CDM function from scratch as first data management hire, establishing SOPs (18 core procedures), governance framework, vendor qualification program, and quality systems supporting 4 rare disease programs from IND through BLA filing</w:t>
      </w:r>
    </w:p>
    <w:p w14:paraId="178FED0F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Selected and implemented Medidata Rave as primary EDC platform through competitive RFP process (evaluated 5 vendors), including </w:t>
      </w:r>
      <w:proofErr w:type="spellStart"/>
      <w:r w:rsidRPr="00AE14FD">
        <w:t>eCOA</w:t>
      </w:r>
      <w:proofErr w:type="spellEnd"/>
      <w:r w:rsidRPr="00AE14FD">
        <w:t>/ePRO (</w:t>
      </w:r>
      <w:proofErr w:type="spellStart"/>
      <w:r w:rsidRPr="00AE14FD">
        <w:t>Signant</w:t>
      </w:r>
      <w:proofErr w:type="spellEnd"/>
      <w:r w:rsidRPr="00AE14FD">
        <w:t xml:space="preserve"> Health), </w:t>
      </w:r>
      <w:proofErr w:type="spellStart"/>
      <w:r w:rsidRPr="00AE14FD">
        <w:t>eConsent</w:t>
      </w:r>
      <w:proofErr w:type="spellEnd"/>
      <w:r w:rsidRPr="00AE14FD">
        <w:t xml:space="preserve"> (</w:t>
      </w:r>
      <w:proofErr w:type="spellStart"/>
      <w:r w:rsidRPr="00AE14FD">
        <w:t>Medable</w:t>
      </w:r>
      <w:proofErr w:type="spellEnd"/>
      <w:r w:rsidRPr="00AE14FD">
        <w:t>), and RTSM (Almac) integrations</w:t>
      </w:r>
    </w:p>
    <w:p w14:paraId="07861E23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Managed $3.2M annual CDM budget across CRO (2 providers), EDC, central lab (3 vendors), imaging, genomics, and specialty bioanalytical data sources with zero budget overruns over 4 years</w:t>
      </w:r>
    </w:p>
    <w:p w14:paraId="3F3ED55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Delivered submission-ready CDISC SDTM and </w:t>
      </w:r>
      <w:proofErr w:type="spellStart"/>
      <w:r w:rsidRPr="00AE14FD">
        <w:t>ADaM</w:t>
      </w:r>
      <w:proofErr w:type="spellEnd"/>
      <w:r w:rsidRPr="00AE14FD">
        <w:t xml:space="preserve"> datasets supporting BLA filing for lead gene therapy program; datasets passed FDA technical review with zero rejection notices</w:t>
      </w:r>
    </w:p>
    <w:p w14:paraId="688B6663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Led CDM inspection readiness preparation including mock inspections, TMF review, and training documentation, resulting in zero major findings across 2 FDA GCP inspections and 1 EMA GCP inspection</w:t>
      </w:r>
    </w:p>
    <w:p w14:paraId="46E3C080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Hired, trained, and developed CDM team from 0 to 8 FTEs including 2 managers, 4 data managers, and 2 data coordinators; implemented competency-based career ladder framework</w:t>
      </w:r>
    </w:p>
    <w:p w14:paraId="2A5CD4D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Designed and deployed standardized CRF library across rare disease programs, reducing database build time by 40% for subsequent studies and ensuring cross-study consistency for integrated analyses</w:t>
      </w:r>
    </w:p>
    <w:p w14:paraId="465E8DAE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Established external data integration hub managing automated data transfers from 12 third-party vendors (central labs, PK/bioanalytical, ECG, imaging, genomics) with 99.7% on-time delivery rate</w:t>
      </w:r>
    </w:p>
    <w:p w14:paraId="346E27ED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Authored data management sections for 3 IND annual reports and 1 BLA submission, providing CDM input on regulatory strategy documents including pre-BLA meeting briefing materials</w:t>
      </w:r>
    </w:p>
    <w:p w14:paraId="00FE6F2A" w14:textId="77777777" w:rsidR="009C2644" w:rsidRPr="00AE14FD" w:rsidRDefault="00AE14FD">
      <w:pPr>
        <w:spacing w:before="160" w:after="40"/>
      </w:pPr>
      <w:r w:rsidRPr="00AE14FD">
        <w:rPr>
          <w:b/>
          <w:bCs/>
        </w:rPr>
        <w:t xml:space="preserve">Confidential Research </w:t>
      </w:r>
      <w:proofErr w:type="gramStart"/>
      <w:r w:rsidRPr="00AE14FD">
        <w:rPr>
          <w:b/>
          <w:bCs/>
        </w:rPr>
        <w:t>Group</w:t>
      </w:r>
      <w:r w:rsidRPr="00AE14FD">
        <w:rPr>
          <w:i/>
          <w:iCs/>
          <w:sz w:val="20"/>
          <w:szCs w:val="20"/>
        </w:rPr>
        <w:t xml:space="preserve">  (</w:t>
      </w:r>
      <w:proofErr w:type="gramEnd"/>
      <w:r w:rsidRPr="00AE14FD">
        <w:rPr>
          <w:i/>
          <w:iCs/>
          <w:sz w:val="20"/>
          <w:szCs w:val="20"/>
        </w:rPr>
        <w:t>Global CRO, Top 5)</w:t>
      </w:r>
    </w:p>
    <w:p w14:paraId="3BFB5D59" w14:textId="77777777" w:rsidR="009C2644" w:rsidRPr="00AE14FD" w:rsidRDefault="00AE14FD">
      <w:pPr>
        <w:spacing w:after="80"/>
      </w:pPr>
      <w:r w:rsidRPr="00AE14FD">
        <w:rPr>
          <w:i/>
          <w:iCs/>
          <w:sz w:val="20"/>
          <w:szCs w:val="20"/>
        </w:rPr>
        <w:t>Cambridge, MA / London, UK</w:t>
      </w:r>
    </w:p>
    <w:p w14:paraId="3538F6ED" w14:textId="77777777" w:rsidR="009C2644" w:rsidRPr="00AE14FD" w:rsidRDefault="00AE14FD">
      <w:pPr>
        <w:spacing w:after="60"/>
      </w:pPr>
      <w:r w:rsidRPr="00AE14FD">
        <w:rPr>
          <w:b/>
          <w:bCs/>
          <w:sz w:val="21"/>
          <w:szCs w:val="21"/>
        </w:rPr>
        <w:t xml:space="preserve">Senior Clinical Data </w:t>
      </w:r>
      <w:proofErr w:type="gramStart"/>
      <w:r w:rsidRPr="00AE14FD">
        <w:rPr>
          <w:b/>
          <w:bCs/>
          <w:sz w:val="21"/>
          <w:szCs w:val="21"/>
        </w:rPr>
        <w:t>Manager</w:t>
      </w:r>
      <w:r w:rsidRPr="00AE14FD">
        <w:rPr>
          <w:sz w:val="20"/>
          <w:szCs w:val="20"/>
        </w:rPr>
        <w:t xml:space="preserve">  |</w:t>
      </w:r>
      <w:proofErr w:type="gramEnd"/>
      <w:r w:rsidRPr="00AE14FD">
        <w:rPr>
          <w:sz w:val="20"/>
          <w:szCs w:val="20"/>
        </w:rPr>
        <w:t xml:space="preserve">  Jan 2013 - Dec 2015</w:t>
      </w:r>
    </w:p>
    <w:p w14:paraId="6565AE00" w14:textId="77777777" w:rsidR="009C2644" w:rsidRPr="00AE14FD" w:rsidRDefault="00AE14FD">
      <w:pPr>
        <w:spacing w:after="60"/>
      </w:pPr>
      <w:r w:rsidRPr="00AE14FD">
        <w:rPr>
          <w:b/>
          <w:bCs/>
          <w:sz w:val="21"/>
          <w:szCs w:val="21"/>
        </w:rPr>
        <w:t xml:space="preserve">Clinical Data </w:t>
      </w:r>
      <w:proofErr w:type="gramStart"/>
      <w:r w:rsidRPr="00AE14FD">
        <w:rPr>
          <w:b/>
          <w:bCs/>
          <w:sz w:val="21"/>
          <w:szCs w:val="21"/>
        </w:rPr>
        <w:t>Manager</w:t>
      </w:r>
      <w:r w:rsidRPr="00AE14FD">
        <w:rPr>
          <w:sz w:val="20"/>
          <w:szCs w:val="20"/>
        </w:rPr>
        <w:t xml:space="preserve">  |</w:t>
      </w:r>
      <w:proofErr w:type="gramEnd"/>
      <w:r w:rsidRPr="00AE14FD">
        <w:rPr>
          <w:sz w:val="20"/>
          <w:szCs w:val="20"/>
        </w:rPr>
        <w:t xml:space="preserve">  Aug 2010 - Dec 2012</w:t>
      </w:r>
    </w:p>
    <w:p w14:paraId="08D10FE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Managed CDM activities for 10+ Phase I-III studies across oncology, cardiovascular, CNS, and immunology programs for 6 pharmaceutical and biotech sponsors with combined budgets exceeding $8M</w:t>
      </w:r>
    </w:p>
    <w:p w14:paraId="575C5CA6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Led team of 6 data managers supporting complex global trial designs including adaptive dose-escalation, basket trials, and seamless Phase II/III designs requiring real-time data cleaning for interim analyses</w:t>
      </w:r>
    </w:p>
    <w:p w14:paraId="0D5B2194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Developed standardized edit check library with 500+ reusable validation rules organized by therapeutic area, reducing database build time by 35% and programming errors by 50% across CRO therapeutic units</w:t>
      </w:r>
    </w:p>
    <w:p w14:paraId="7C23D300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Served as CDM lead for 3 sponsor audits and 2 regulatory inspections (FDA, MHRA), achieving zero critical CDM findings; developed standardized audit readiness toolkit adopted company-wide</w:t>
      </w:r>
    </w:p>
    <w:p w14:paraId="05629599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Managed medical coding operations (MedDRA, </w:t>
      </w:r>
      <w:proofErr w:type="spellStart"/>
      <w:r w:rsidRPr="00AE14FD">
        <w:t>WHODrug</w:t>
      </w:r>
      <w:proofErr w:type="spellEnd"/>
      <w:r w:rsidRPr="00AE14FD">
        <w:t>) for all assigned studies, including auto-coding dictionary configuration, coding reconciliation, and verbatim term review meetings with medical monitors</w:t>
      </w:r>
    </w:p>
    <w:p w14:paraId="3211C5F5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Oversaw CDISC SDTM conversion activities for 4 legacy studies migrating from SAS datasets to SDTM-compliant submission packages, ensuring traceability documentation and FDA reviewer guides met eCTD specifications</w:t>
      </w:r>
    </w:p>
    <w:p w14:paraId="6EE40465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Led cross-functional UAT for Oracle Clinical to Medidata Rave migration across 2 sponsor portfolios, developing 150+ test scripts covering edit checks, data listings, randomization, and external data integrations</w:t>
      </w:r>
    </w:p>
    <w:p w14:paraId="3C897FF7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Coordinated with Biostatistics, Clinical Science, and Safety teams on ongoing data review, including signal detection analyses, protocol deviation assessments, and eligibility violation reviews</w:t>
      </w:r>
    </w:p>
    <w:p w14:paraId="01FF0884" w14:textId="77777777" w:rsidR="009C2644" w:rsidRPr="00AE14FD" w:rsidRDefault="00AE14FD">
      <w:pPr>
        <w:spacing w:before="160" w:after="40"/>
      </w:pPr>
      <w:r w:rsidRPr="00AE14FD">
        <w:rPr>
          <w:b/>
          <w:bCs/>
        </w:rPr>
        <w:t xml:space="preserve">Confidential Pharma </w:t>
      </w:r>
      <w:proofErr w:type="gramStart"/>
      <w:r w:rsidRPr="00AE14FD">
        <w:rPr>
          <w:b/>
          <w:bCs/>
        </w:rPr>
        <w:t>Corp</w:t>
      </w:r>
      <w:r w:rsidRPr="00AE14FD">
        <w:rPr>
          <w:i/>
          <w:iCs/>
          <w:sz w:val="20"/>
          <w:szCs w:val="20"/>
        </w:rPr>
        <w:t xml:space="preserve">  (</w:t>
      </w:r>
      <w:proofErr w:type="gramEnd"/>
      <w:r w:rsidRPr="00AE14FD">
        <w:rPr>
          <w:i/>
          <w:iCs/>
          <w:sz w:val="20"/>
          <w:szCs w:val="20"/>
        </w:rPr>
        <w:t>Mid-Size Pharmaceutical Company, Cardiovascular Division)</w:t>
      </w:r>
    </w:p>
    <w:p w14:paraId="2FF66501" w14:textId="77777777" w:rsidR="009C2644" w:rsidRPr="00AE14FD" w:rsidRDefault="00AE14FD">
      <w:pPr>
        <w:spacing w:after="80"/>
      </w:pPr>
      <w:r w:rsidRPr="00AE14FD">
        <w:rPr>
          <w:i/>
          <w:iCs/>
          <w:sz w:val="20"/>
          <w:szCs w:val="20"/>
        </w:rPr>
        <w:t>Framingham, MA</w:t>
      </w:r>
    </w:p>
    <w:p w14:paraId="1A8DA1EC" w14:textId="77777777" w:rsidR="009C2644" w:rsidRPr="00AE14FD" w:rsidRDefault="00AE14FD">
      <w:pPr>
        <w:spacing w:after="60"/>
      </w:pPr>
      <w:r w:rsidRPr="00AE14FD">
        <w:rPr>
          <w:b/>
          <w:bCs/>
          <w:sz w:val="21"/>
          <w:szCs w:val="21"/>
        </w:rPr>
        <w:t xml:space="preserve">Clinical Data </w:t>
      </w:r>
      <w:proofErr w:type="gramStart"/>
      <w:r w:rsidRPr="00AE14FD">
        <w:rPr>
          <w:b/>
          <w:bCs/>
          <w:sz w:val="21"/>
          <w:szCs w:val="21"/>
        </w:rPr>
        <w:t>Coordinator</w:t>
      </w:r>
      <w:r w:rsidRPr="00AE14FD">
        <w:rPr>
          <w:sz w:val="20"/>
          <w:szCs w:val="20"/>
        </w:rPr>
        <w:t xml:space="preserve">  |</w:t>
      </w:r>
      <w:proofErr w:type="gramEnd"/>
      <w:r w:rsidRPr="00AE14FD">
        <w:rPr>
          <w:sz w:val="20"/>
          <w:szCs w:val="20"/>
        </w:rPr>
        <w:t xml:space="preserve">  Jun 2008 - Jul 2010</w:t>
      </w:r>
    </w:p>
    <w:p w14:paraId="46899AF3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lastRenderedPageBreak/>
        <w:t>Supported data management for 4 Phase II/III cardiovascular and metabolic studies using Oracle Clinical EDC, including CRF design, edit check testing, and query management for 80+ sites globally</w:t>
      </w:r>
    </w:p>
    <w:p w14:paraId="280A294E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Performed medical coding (MedDRA 12-14, </w:t>
      </w:r>
      <w:proofErr w:type="spellStart"/>
      <w:r w:rsidRPr="00AE14FD">
        <w:t>WHODrug</w:t>
      </w:r>
      <w:proofErr w:type="spellEnd"/>
      <w:r w:rsidRPr="00AE14FD">
        <w:t xml:space="preserve">) for adverse events, medical history, and concomitant medications across all assigned studies; maintained coding currency through </w:t>
      </w:r>
      <w:proofErr w:type="gramStart"/>
      <w:r w:rsidRPr="00AE14FD">
        <w:t>dictionary version</w:t>
      </w:r>
      <w:proofErr w:type="gramEnd"/>
      <w:r w:rsidRPr="00AE14FD">
        <w:t xml:space="preserve"> upgrades</w:t>
      </w:r>
    </w:p>
    <w:p w14:paraId="28DF64B0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Managed external data reconciliation with 3 central laboratory vendors and 1 ECG core lab, resolving 2,000+ discrepancies per quarter and maintaining reconciliation completion rates above 98%</w:t>
      </w:r>
    </w:p>
    <w:p w14:paraId="1D267521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Authored data management plans, CRF completion guidelines, and external data transfer specifications for new study initiations</w:t>
      </w:r>
    </w:p>
    <w:p w14:paraId="67682783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Generated ad hoc data listings and quality reports for medical monitor review, DSMB presentations, and CRA monitoring visit preparation</w:t>
      </w:r>
    </w:p>
    <w:p w14:paraId="21C0B31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Contributed to database lock activities for 2 successful NDA-supporting studies, including pre-lock data review, query resolution tracking, and clean patient data confirmation</w:t>
      </w:r>
    </w:p>
    <w:p w14:paraId="78A365C6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EDUCATION</w:t>
      </w:r>
    </w:p>
    <w:p w14:paraId="2F8456C4" w14:textId="77777777" w:rsidR="009C2644" w:rsidRPr="00AE14FD" w:rsidRDefault="00AE14FD">
      <w:pPr>
        <w:spacing w:after="60"/>
      </w:pPr>
      <w:r w:rsidRPr="00AE14FD">
        <w:rPr>
          <w:b/>
          <w:bCs/>
        </w:rPr>
        <w:t xml:space="preserve">M.S., Data </w:t>
      </w:r>
      <w:proofErr w:type="gramStart"/>
      <w:r w:rsidRPr="00AE14FD">
        <w:rPr>
          <w:b/>
          <w:bCs/>
        </w:rPr>
        <w:t>Science</w:t>
      </w:r>
      <w:r w:rsidRPr="00AE14FD">
        <w:t xml:space="preserve">  |</w:t>
      </w:r>
      <w:proofErr w:type="gramEnd"/>
      <w:r w:rsidRPr="00AE14FD">
        <w:t xml:space="preserve">  Northeastern University, 2014</w:t>
      </w:r>
    </w:p>
    <w:p w14:paraId="03015E2C" w14:textId="77777777" w:rsidR="009C2644" w:rsidRPr="00AE14FD" w:rsidRDefault="00AE14FD">
      <w:pPr>
        <w:spacing w:after="40"/>
      </w:pPr>
      <w:r w:rsidRPr="00AE14FD">
        <w:rPr>
          <w:i/>
          <w:iCs/>
          <w:sz w:val="20"/>
          <w:szCs w:val="20"/>
        </w:rPr>
        <w:t xml:space="preserve">Capstone Project: </w:t>
      </w:r>
      <w:r w:rsidRPr="00AE14FD">
        <w:rPr>
          <w:sz w:val="20"/>
          <w:szCs w:val="20"/>
        </w:rPr>
        <w:t>"Predictive Modeling for Clinical Data Query Generation Using Machine Learning Algorithms"</w:t>
      </w:r>
    </w:p>
    <w:p w14:paraId="66865D9A" w14:textId="77777777" w:rsidR="009C2644" w:rsidRPr="00AE14FD" w:rsidRDefault="00AE14FD">
      <w:pPr>
        <w:spacing w:after="120"/>
      </w:pPr>
      <w:r w:rsidRPr="00AE14FD">
        <w:rPr>
          <w:b/>
          <w:bCs/>
        </w:rPr>
        <w:t xml:space="preserve">B.S., Computer </w:t>
      </w:r>
      <w:proofErr w:type="gramStart"/>
      <w:r w:rsidRPr="00AE14FD">
        <w:rPr>
          <w:b/>
          <w:bCs/>
        </w:rPr>
        <w:t>Science</w:t>
      </w:r>
      <w:r w:rsidRPr="00AE14FD">
        <w:t xml:space="preserve">  |</w:t>
      </w:r>
      <w:proofErr w:type="gramEnd"/>
      <w:r w:rsidRPr="00AE14FD">
        <w:t xml:space="preserve">  University of Connecticut, 2008, Magna Cum Laude</w:t>
      </w:r>
    </w:p>
    <w:p w14:paraId="4BC1CFD0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Executive Education: </w:t>
      </w:r>
      <w:r w:rsidRPr="00AE14FD">
        <w:rPr>
          <w:sz w:val="20"/>
          <w:szCs w:val="20"/>
        </w:rPr>
        <w:t>Leadership in Biotech Organizations, Harvard Business School Executive Education, 2022</w:t>
      </w:r>
    </w:p>
    <w:p w14:paraId="654E3A7F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CERTIFICATIONS &amp; PROFESSIONAL DEVELOPMENT</w:t>
      </w:r>
    </w:p>
    <w:p w14:paraId="05271579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SCDM Certified Clinical Data Manager (CCDM), 2014; Recertified 2020</w:t>
      </w:r>
    </w:p>
    <w:p w14:paraId="476F75AF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Medidata Rave Certified Administrator, 2016; Veeva EDC Certified, 2023</w:t>
      </w:r>
    </w:p>
    <w:p w14:paraId="1A02934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CDISC SDTM, </w:t>
      </w:r>
      <w:proofErr w:type="spellStart"/>
      <w:r w:rsidRPr="00AE14FD">
        <w:t>ADaM</w:t>
      </w:r>
      <w:proofErr w:type="spellEnd"/>
      <w:r w:rsidRPr="00AE14FD">
        <w:t>, and CDASH Certified, CDISC, 2013</w:t>
      </w:r>
    </w:p>
    <w:p w14:paraId="6FD95A1E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ICH E6(R3) GCP Implementation - Advanced Workshop, DIA, 2024</w:t>
      </w:r>
    </w:p>
    <w:p w14:paraId="006321BF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Risk-Based Quality Management (RBQM) Master Class, </w:t>
      </w:r>
      <w:proofErr w:type="spellStart"/>
      <w:r w:rsidRPr="00AE14FD">
        <w:t>TransCelerate</w:t>
      </w:r>
      <w:proofErr w:type="spellEnd"/>
      <w:r w:rsidRPr="00AE14FD">
        <w:t xml:space="preserve"> BioPharma, 2021</w:t>
      </w:r>
    </w:p>
    <w:p w14:paraId="76123EC7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Certified Scrum Master (CSM) - Applied to Agile CDM Operations, 2019</w:t>
      </w:r>
    </w:p>
    <w:p w14:paraId="34FF4072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AWS Cloud Practitioner - Applied to clinical data lake architecture, 2023</w:t>
      </w:r>
    </w:p>
    <w:p w14:paraId="3F5829B5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PUBLICATIONS &amp; PRESENTATIONS</w:t>
      </w:r>
    </w:p>
    <w:p w14:paraId="3444EBD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 xml:space="preserve">Lead author, "Building a Clinical Data Management Function from Scratch: A Practical Guide for Emerging </w:t>
      </w:r>
      <w:proofErr w:type="spellStart"/>
      <w:r w:rsidRPr="00AE14FD">
        <w:t>Biotechs</w:t>
      </w:r>
      <w:proofErr w:type="spellEnd"/>
      <w:r w:rsidRPr="00AE14FD">
        <w:t>," Data Basics, SCDM Quarterly Journal, 2024</w:t>
      </w:r>
    </w:p>
    <w:p w14:paraId="53190800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Co-author, "AI-Enabled Data Review in Clinical Trials: Impact on Database Lock Timelines and Data Quality Metrics," Journal of the Society for Clinical Trials, 2023</w:t>
      </w:r>
    </w:p>
    <w:p w14:paraId="0254C0DE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Podium Presentation, "Enterprise EDC Migration at Scale: Lessons from Moving 8 Global Studies to Medidata Rave," DIA Annual Meeting, 2023</w:t>
      </w:r>
    </w:p>
    <w:p w14:paraId="0877C876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Panel Moderator, "The Future of Clinical Data Management: AI, eSource, and Digital Health," SCDM Annual Conference, 2023</w:t>
      </w:r>
    </w:p>
    <w:p w14:paraId="7652191A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Co-author, "CDISC Implementation in Rare Disease Programs: Navigating Unique Challenges in Orphan Drug Development," Applied Clinical Informatics, 2021</w:t>
      </w:r>
    </w:p>
    <w:p w14:paraId="469A012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Poster, "Integrating Wearable Device Data into EDC Systems: A Pilot Framework for CNS Clinical Trials," SCDM Annual Conference, 2024</w:t>
      </w:r>
    </w:p>
    <w:p w14:paraId="1D2B3CDE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Co-author, "Standardized Edit Check Libraries: Reducing Build Time and Improving Consistency Across Therapeutic Areas," Pharmaceutical Programming, 2019</w:t>
      </w:r>
    </w:p>
    <w:p w14:paraId="1ECAC241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PROFESSIONAL AFFILIATIONS &amp; INDUSTRY ACTIVITIES</w:t>
      </w:r>
    </w:p>
    <w:p w14:paraId="638AF487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Society for Clinical Data Management (SCDM) - Active Member since 2011; Board of Trustees Nominee, 2024; Chair, Technology Innovation Working Group, 2022-Present</w:t>
      </w:r>
    </w:p>
    <w:p w14:paraId="64D3D2BB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Drug Information Association (DIA) - Member since 2012; Session Chair, CDM Track, Annual Meeting 2023</w:t>
      </w:r>
    </w:p>
    <w:p w14:paraId="2D483B2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lastRenderedPageBreak/>
        <w:t>CDISC Standards Development - Contributor, CDASH Model v2.2 Working Group, 2020-2021; Participant, CDISC Rare Disease Standards Initiative, 2022</w:t>
      </w:r>
    </w:p>
    <w:p w14:paraId="47124499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proofErr w:type="spellStart"/>
      <w:r w:rsidRPr="00AE14FD">
        <w:t>TransCelerate</w:t>
      </w:r>
      <w:proofErr w:type="spellEnd"/>
      <w:r w:rsidRPr="00AE14FD">
        <w:t xml:space="preserve"> BioPharma - Participant, Clinical Data Standards Workstream, 2021-2022</w:t>
      </w:r>
    </w:p>
    <w:p w14:paraId="22DE7DF9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Guest Lecturer, Northeastern University MS Data Science Program, "Clinical Data Management in the Pharmaceutical Industry," 2023-Present</w:t>
      </w:r>
    </w:p>
    <w:p w14:paraId="4C936B82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TECHNICAL SKILLS</w:t>
      </w:r>
    </w:p>
    <w:p w14:paraId="4E9040F4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EDC Platforms: </w:t>
      </w:r>
      <w:r w:rsidRPr="00AE14FD">
        <w:rPr>
          <w:sz w:val="20"/>
          <w:szCs w:val="20"/>
        </w:rPr>
        <w:t xml:space="preserve">Medidata Rave (Admin-certified), Veeva EDC (Certified), Oracle Clinical, </w:t>
      </w:r>
      <w:proofErr w:type="spellStart"/>
      <w:r w:rsidRPr="00AE14FD">
        <w:rPr>
          <w:sz w:val="20"/>
          <w:szCs w:val="20"/>
        </w:rPr>
        <w:t>InForm</w:t>
      </w:r>
      <w:proofErr w:type="spellEnd"/>
      <w:r w:rsidRPr="00AE14FD">
        <w:rPr>
          <w:sz w:val="20"/>
          <w:szCs w:val="20"/>
        </w:rPr>
        <w:t xml:space="preserve">, </w:t>
      </w:r>
      <w:proofErr w:type="spellStart"/>
      <w:r w:rsidRPr="00AE14FD">
        <w:rPr>
          <w:sz w:val="20"/>
          <w:szCs w:val="20"/>
        </w:rPr>
        <w:t>REDCap</w:t>
      </w:r>
      <w:proofErr w:type="spellEnd"/>
    </w:p>
    <w:p w14:paraId="0F18AB9B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Data Standards &amp; Compliance: </w:t>
      </w:r>
      <w:r w:rsidRPr="00AE14FD">
        <w:rPr>
          <w:sz w:val="20"/>
          <w:szCs w:val="20"/>
        </w:rPr>
        <w:t xml:space="preserve">CDISC (CDASH, SDTM, </w:t>
      </w:r>
      <w:proofErr w:type="spellStart"/>
      <w:r w:rsidRPr="00AE14FD">
        <w:rPr>
          <w:sz w:val="20"/>
          <w:szCs w:val="20"/>
        </w:rPr>
        <w:t>ADaM</w:t>
      </w:r>
      <w:proofErr w:type="spellEnd"/>
      <w:r w:rsidRPr="00AE14FD">
        <w:rPr>
          <w:sz w:val="20"/>
          <w:szCs w:val="20"/>
        </w:rPr>
        <w:t>, define.xml, CT), ICH E6(R3), ICH E8(R1), 21 CFR Part 11, GDPR, HIPAA, RBQM/RBM</w:t>
      </w:r>
    </w:p>
    <w:p w14:paraId="407C206A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Medical Coding: </w:t>
      </w:r>
      <w:r w:rsidRPr="00AE14FD">
        <w:rPr>
          <w:sz w:val="20"/>
          <w:szCs w:val="20"/>
        </w:rPr>
        <w:t xml:space="preserve">MedDRA (v14-26), </w:t>
      </w:r>
      <w:proofErr w:type="spellStart"/>
      <w:r w:rsidRPr="00AE14FD">
        <w:rPr>
          <w:sz w:val="20"/>
          <w:szCs w:val="20"/>
        </w:rPr>
        <w:t>WHODrug</w:t>
      </w:r>
      <w:proofErr w:type="spellEnd"/>
      <w:r w:rsidRPr="00AE14FD">
        <w:rPr>
          <w:sz w:val="20"/>
          <w:szCs w:val="20"/>
        </w:rPr>
        <w:t xml:space="preserve"> Global (B3/C3), auto-coding configuration and validation</w:t>
      </w:r>
    </w:p>
    <w:p w14:paraId="74F46ACE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Analytics &amp; Validation: </w:t>
      </w:r>
      <w:r w:rsidRPr="00AE14FD">
        <w:rPr>
          <w:sz w:val="20"/>
          <w:szCs w:val="20"/>
        </w:rPr>
        <w:t>SAS (Base, SQL, Macros), Python, R, Pinnacle 21 (Community &amp; Enterprise), P21 API integration</w:t>
      </w:r>
    </w:p>
    <w:p w14:paraId="5FB25B0B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Data Review &amp; Visualization: </w:t>
      </w:r>
      <w:r w:rsidRPr="00AE14FD">
        <w:rPr>
          <w:sz w:val="20"/>
          <w:szCs w:val="20"/>
        </w:rPr>
        <w:t xml:space="preserve">Veeva CDB, </w:t>
      </w:r>
      <w:proofErr w:type="spellStart"/>
      <w:r w:rsidRPr="00AE14FD">
        <w:rPr>
          <w:sz w:val="20"/>
          <w:szCs w:val="20"/>
        </w:rPr>
        <w:t>JReview</w:t>
      </w:r>
      <w:proofErr w:type="spellEnd"/>
      <w:r w:rsidRPr="00AE14FD">
        <w:rPr>
          <w:sz w:val="20"/>
          <w:szCs w:val="20"/>
        </w:rPr>
        <w:t>, Spotfire, custom NLP-based data review algorithms, clinical data dashboards</w:t>
      </w:r>
    </w:p>
    <w:p w14:paraId="585B98B9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Data Capture Technologies: </w:t>
      </w:r>
      <w:proofErr w:type="spellStart"/>
      <w:r w:rsidRPr="00AE14FD">
        <w:rPr>
          <w:sz w:val="20"/>
          <w:szCs w:val="20"/>
        </w:rPr>
        <w:t>eCOA</w:t>
      </w:r>
      <w:proofErr w:type="spellEnd"/>
      <w:r w:rsidRPr="00AE14FD">
        <w:rPr>
          <w:sz w:val="20"/>
          <w:szCs w:val="20"/>
        </w:rPr>
        <w:t>/ePRO (</w:t>
      </w:r>
      <w:proofErr w:type="spellStart"/>
      <w:r w:rsidRPr="00AE14FD">
        <w:rPr>
          <w:sz w:val="20"/>
          <w:szCs w:val="20"/>
        </w:rPr>
        <w:t>Signant</w:t>
      </w:r>
      <w:proofErr w:type="spellEnd"/>
      <w:r w:rsidRPr="00AE14FD">
        <w:rPr>
          <w:sz w:val="20"/>
          <w:szCs w:val="20"/>
        </w:rPr>
        <w:t xml:space="preserve">, </w:t>
      </w:r>
      <w:proofErr w:type="spellStart"/>
      <w:r w:rsidRPr="00AE14FD">
        <w:rPr>
          <w:sz w:val="20"/>
          <w:szCs w:val="20"/>
        </w:rPr>
        <w:t>YPrime</w:t>
      </w:r>
      <w:proofErr w:type="spellEnd"/>
      <w:r w:rsidRPr="00AE14FD">
        <w:rPr>
          <w:sz w:val="20"/>
          <w:szCs w:val="20"/>
        </w:rPr>
        <w:t xml:space="preserve">, Medidata Patient Cloud), </w:t>
      </w:r>
      <w:proofErr w:type="spellStart"/>
      <w:r w:rsidRPr="00AE14FD">
        <w:rPr>
          <w:sz w:val="20"/>
          <w:szCs w:val="20"/>
        </w:rPr>
        <w:t>eConsent</w:t>
      </w:r>
      <w:proofErr w:type="spellEnd"/>
      <w:r w:rsidRPr="00AE14FD">
        <w:rPr>
          <w:sz w:val="20"/>
          <w:szCs w:val="20"/>
        </w:rPr>
        <w:t xml:space="preserve"> (</w:t>
      </w:r>
      <w:proofErr w:type="spellStart"/>
      <w:r w:rsidRPr="00AE14FD">
        <w:rPr>
          <w:sz w:val="20"/>
          <w:szCs w:val="20"/>
        </w:rPr>
        <w:t>Medable</w:t>
      </w:r>
      <w:proofErr w:type="spellEnd"/>
      <w:r w:rsidRPr="00AE14FD">
        <w:rPr>
          <w:sz w:val="20"/>
          <w:szCs w:val="20"/>
        </w:rPr>
        <w:t>, Florence), eSource, RTSM (Almac, Medidata Balance), wearables/digital endpoints</w:t>
      </w:r>
    </w:p>
    <w:p w14:paraId="4CFEE858" w14:textId="77777777" w:rsidR="009C2644" w:rsidRPr="00AE14FD" w:rsidRDefault="00AE14FD">
      <w:pPr>
        <w:spacing w:after="60"/>
      </w:pPr>
      <w:r w:rsidRPr="00AE14FD">
        <w:rPr>
          <w:b/>
          <w:bCs/>
          <w:sz w:val="20"/>
          <w:szCs w:val="20"/>
        </w:rPr>
        <w:t xml:space="preserve">Cloud &amp; Infrastructure: </w:t>
      </w:r>
      <w:r w:rsidRPr="00AE14FD">
        <w:rPr>
          <w:sz w:val="20"/>
          <w:szCs w:val="20"/>
        </w:rPr>
        <w:t>AWS (clinical data lake architecture), Veeva Vault CDMS, Medidata RAVE integration APIs</w:t>
      </w:r>
    </w:p>
    <w:p w14:paraId="6A244A76" w14:textId="77777777" w:rsidR="009C2644" w:rsidRPr="00AE14FD" w:rsidRDefault="00AE14FD">
      <w:pPr>
        <w:pBdr>
          <w:bottom w:val="single" w:sz="1" w:space="1" w:color="1F3864"/>
        </w:pBdr>
        <w:spacing w:before="200" w:after="80"/>
      </w:pPr>
      <w:r w:rsidRPr="00AE14FD">
        <w:rPr>
          <w:b/>
          <w:bCs/>
        </w:rPr>
        <w:t>AWARDS &amp; RECOGNITION</w:t>
      </w:r>
    </w:p>
    <w:p w14:paraId="0D49908C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2023 - Nominated for SCDM Board of Trustees, recognizing contributions to clinical data management standards and innovation</w:t>
      </w:r>
    </w:p>
    <w:p w14:paraId="5A3B121D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2022 - Confidential Pharma President's Award for Excellence in Data Innovation - AI-enabled data review implementation</w:t>
      </w:r>
    </w:p>
    <w:p w14:paraId="2732D8C6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2020 - Confidential Therapeutics Impact Award - Successful BLA submission with zero CDM-related regulatory queries</w:t>
      </w:r>
    </w:p>
    <w:p w14:paraId="64B2EF88" w14:textId="77777777" w:rsidR="009C2644" w:rsidRPr="00AE14FD" w:rsidRDefault="00AE14FD">
      <w:pPr>
        <w:pStyle w:val="ListParagraph"/>
        <w:numPr>
          <w:ilvl w:val="0"/>
          <w:numId w:val="2"/>
        </w:numPr>
        <w:spacing w:after="60"/>
      </w:pPr>
      <w:r w:rsidRPr="00AE14FD">
        <w:t>2019 - SCDM Rising Star Award Finalist - Contributions to data management best practices in rare disease</w:t>
      </w:r>
    </w:p>
    <w:sectPr w:rsidR="009C2644" w:rsidRPr="00AE14FD" w:rsidSect="00AE14F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76C1"/>
    <w:multiLevelType w:val="hybridMultilevel"/>
    <w:tmpl w:val="1ACE9E14"/>
    <w:lvl w:ilvl="0" w:tplc="060C3570">
      <w:start w:val="1"/>
      <w:numFmt w:val="bullet"/>
      <w:lvlText w:val="●"/>
      <w:lvlJc w:val="left"/>
      <w:pPr>
        <w:ind w:left="720" w:hanging="360"/>
      </w:pPr>
    </w:lvl>
    <w:lvl w:ilvl="1" w:tplc="85962E60">
      <w:start w:val="1"/>
      <w:numFmt w:val="bullet"/>
      <w:lvlText w:val="○"/>
      <w:lvlJc w:val="left"/>
      <w:pPr>
        <w:ind w:left="1440" w:hanging="360"/>
      </w:pPr>
    </w:lvl>
    <w:lvl w:ilvl="2" w:tplc="6450DBC0">
      <w:start w:val="1"/>
      <w:numFmt w:val="bullet"/>
      <w:lvlText w:val="■"/>
      <w:lvlJc w:val="left"/>
      <w:pPr>
        <w:ind w:left="2160" w:hanging="360"/>
      </w:pPr>
    </w:lvl>
    <w:lvl w:ilvl="3" w:tplc="FF342BB6">
      <w:start w:val="1"/>
      <w:numFmt w:val="bullet"/>
      <w:lvlText w:val="●"/>
      <w:lvlJc w:val="left"/>
      <w:pPr>
        <w:ind w:left="2880" w:hanging="360"/>
      </w:pPr>
    </w:lvl>
    <w:lvl w:ilvl="4" w:tplc="46520CCC">
      <w:start w:val="1"/>
      <w:numFmt w:val="bullet"/>
      <w:lvlText w:val="○"/>
      <w:lvlJc w:val="left"/>
      <w:pPr>
        <w:ind w:left="3600" w:hanging="360"/>
      </w:pPr>
    </w:lvl>
    <w:lvl w:ilvl="5" w:tplc="6586470C">
      <w:start w:val="1"/>
      <w:numFmt w:val="bullet"/>
      <w:lvlText w:val="■"/>
      <w:lvlJc w:val="left"/>
      <w:pPr>
        <w:ind w:left="4320" w:hanging="360"/>
      </w:pPr>
    </w:lvl>
    <w:lvl w:ilvl="6" w:tplc="FB64F838">
      <w:start w:val="1"/>
      <w:numFmt w:val="bullet"/>
      <w:lvlText w:val="●"/>
      <w:lvlJc w:val="left"/>
      <w:pPr>
        <w:ind w:left="5040" w:hanging="360"/>
      </w:pPr>
    </w:lvl>
    <w:lvl w:ilvl="7" w:tplc="3FEEDFE6">
      <w:start w:val="1"/>
      <w:numFmt w:val="bullet"/>
      <w:lvlText w:val="●"/>
      <w:lvlJc w:val="left"/>
      <w:pPr>
        <w:ind w:left="5760" w:hanging="360"/>
      </w:pPr>
    </w:lvl>
    <w:lvl w:ilvl="8" w:tplc="331C15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7C7B1C"/>
    <w:multiLevelType w:val="hybridMultilevel"/>
    <w:tmpl w:val="53287506"/>
    <w:lvl w:ilvl="0" w:tplc="F464566C">
      <w:start w:val="1"/>
      <w:numFmt w:val="bullet"/>
      <w:lvlText w:val="•"/>
      <w:lvlJc w:val="left"/>
      <w:pPr>
        <w:ind w:left="720" w:hanging="360"/>
      </w:pPr>
    </w:lvl>
    <w:lvl w:ilvl="1" w:tplc="F0E04EBE">
      <w:numFmt w:val="decimal"/>
      <w:lvlText w:val=""/>
      <w:lvlJc w:val="left"/>
    </w:lvl>
    <w:lvl w:ilvl="2" w:tplc="49E09ED4">
      <w:numFmt w:val="decimal"/>
      <w:lvlText w:val=""/>
      <w:lvlJc w:val="left"/>
    </w:lvl>
    <w:lvl w:ilvl="3" w:tplc="D44C0B6E">
      <w:numFmt w:val="decimal"/>
      <w:lvlText w:val=""/>
      <w:lvlJc w:val="left"/>
    </w:lvl>
    <w:lvl w:ilvl="4" w:tplc="B490A3DA">
      <w:numFmt w:val="decimal"/>
      <w:lvlText w:val=""/>
      <w:lvlJc w:val="left"/>
    </w:lvl>
    <w:lvl w:ilvl="5" w:tplc="4FEC861E">
      <w:numFmt w:val="decimal"/>
      <w:lvlText w:val=""/>
      <w:lvlJc w:val="left"/>
    </w:lvl>
    <w:lvl w:ilvl="6" w:tplc="A468A918">
      <w:numFmt w:val="decimal"/>
      <w:lvlText w:val=""/>
      <w:lvlJc w:val="left"/>
    </w:lvl>
    <w:lvl w:ilvl="7" w:tplc="A1C20F6C">
      <w:numFmt w:val="decimal"/>
      <w:lvlText w:val=""/>
      <w:lvlJc w:val="left"/>
    </w:lvl>
    <w:lvl w:ilvl="8" w:tplc="24B6C300">
      <w:numFmt w:val="decimal"/>
      <w:lvlText w:val=""/>
      <w:lvlJc w:val="left"/>
    </w:lvl>
  </w:abstractNum>
  <w:num w:numId="1" w16cid:durableId="807164825">
    <w:abstractNumId w:val="0"/>
    <w:lvlOverride w:ilvl="0">
      <w:startOverride w:val="1"/>
    </w:lvlOverride>
  </w:num>
  <w:num w:numId="2" w16cid:durableId="2007131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644"/>
    <w:rsid w:val="009C2644"/>
    <w:rsid w:val="00AE14FD"/>
    <w:rsid w:val="00A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E76D"/>
  <w15:docId w15:val="{ED234180-EB9B-46A9-A61C-A2E8B72D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1633</Words>
  <Characters>10576</Characters>
  <Application>Microsoft Office Word</Application>
  <DocSecurity>0</DocSecurity>
  <Lines>170</Lines>
  <Paragraphs>96</Paragraphs>
  <ScaleCrop>false</ScaleCrop>
  <Company/>
  <LinksUpToDate>false</LinksUpToDate>
  <CharactersWithSpaces>12195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2026-02-25T15:33:00Z</dcterms:created>
  <dcterms:modified xsi:type="dcterms:W3CDTF">2026-02-25T15:33:00Z</dcterms:modified>
</cp:coreProperties>
</file>