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FFD69" w14:textId="60D3EC6A" w:rsidR="007945A2" w:rsidRPr="007945A2" w:rsidRDefault="007945A2" w:rsidP="007945A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CONFIDENTIAL CANDIDATE, MD, MBA</w:t>
      </w:r>
      <w:r w:rsidRPr="007945A2">
        <w:rPr>
          <w:rFonts w:ascii="Times New Roman" w:eastAsia="Times New Roman" w:hAnsi="Times New Roman" w:cs="Times New Roman"/>
          <w:kern w:val="0"/>
          <w14:ligatures w14:val="none"/>
        </w:rPr>
        <w:br/>
        <w:t>Bellevue, WA</w:t>
      </w:r>
    </w:p>
    <w:p w14:paraId="2F798FFE" w14:textId="77777777" w:rsidR="007945A2" w:rsidRPr="007945A2" w:rsidRDefault="007945A2" w:rsidP="007945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pict w14:anchorId="4FEAEF09">
          <v:rect id="_x0000_i1025" style="width:0;height:1.5pt" o:hralign="center" o:hrstd="t" o:hr="t" fillcolor="#a0a0a0" stroked="f"/>
        </w:pict>
      </w:r>
    </w:p>
    <w:p w14:paraId="6595DE02" w14:textId="77777777" w:rsidR="007945A2" w:rsidRPr="007945A2" w:rsidRDefault="007945A2" w:rsidP="0079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SUMMARY</w:t>
      </w:r>
    </w:p>
    <w:p w14:paraId="4172F1A8" w14:textId="77777777" w:rsidR="007945A2" w:rsidRPr="007945A2" w:rsidRDefault="007945A2" w:rsidP="0079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t xml:space="preserve">Physician-executive with 15+ years leading late-stage oncology clinical development programs for global pharmaceutical companies. Recognized expert in antibody-drug conjugate (ADC) development, regulatory strategy, and CMC-clinical integration for complex biologics. Successfully secured 3 FDA approvals and 2 EMA approvals for targeted oncology agents. </w:t>
      </w:r>
      <w:proofErr w:type="gramStart"/>
      <w:r w:rsidRPr="007945A2">
        <w:rPr>
          <w:rFonts w:ascii="Times New Roman" w:eastAsia="Times New Roman" w:hAnsi="Times New Roman" w:cs="Times New Roman"/>
          <w:kern w:val="0"/>
          <w14:ligatures w14:val="none"/>
        </w:rPr>
        <w:t>Known</w:t>
      </w:r>
      <w:proofErr w:type="gramEnd"/>
      <w:r w:rsidRPr="007945A2">
        <w:rPr>
          <w:rFonts w:ascii="Times New Roman" w:eastAsia="Times New Roman" w:hAnsi="Times New Roman" w:cs="Times New Roman"/>
          <w:kern w:val="0"/>
          <w14:ligatures w14:val="none"/>
        </w:rPr>
        <w:t xml:space="preserve"> for building high-performing global teams, navigating complex FDA negotiations, and delivering pivotal programs on accelerated timelines. </w:t>
      </w:r>
      <w:r w:rsidRPr="007945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compensation: $385K + 25% target bonus + equity. Open to compelling opportunities around $410K for the right platform.</w:t>
      </w:r>
    </w:p>
    <w:p w14:paraId="71AD8854" w14:textId="77777777" w:rsidR="007945A2" w:rsidRPr="007945A2" w:rsidRDefault="007945A2" w:rsidP="007945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pict w14:anchorId="02E11C84">
          <v:rect id="_x0000_i1026" style="width:0;height:1.5pt" o:hralign="center" o:hrstd="t" o:hr="t" fillcolor="#a0a0a0" stroked="f"/>
        </w:pict>
      </w:r>
    </w:p>
    <w:p w14:paraId="2953F79A" w14:textId="77777777" w:rsidR="007945A2" w:rsidRPr="007945A2" w:rsidRDefault="007945A2" w:rsidP="0079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</w:t>
      </w:r>
    </w:p>
    <w:p w14:paraId="154E96CE" w14:textId="77777777" w:rsidR="007945A2" w:rsidRPr="007945A2" w:rsidRDefault="007945A2" w:rsidP="0079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Executive Director, Oncology Clinical Development</w:t>
      </w:r>
      <w:r w:rsidRPr="007945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945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Confidential Pharma, Oncology Business Unit</w:t>
      </w:r>
      <w:r w:rsidRPr="007945A2">
        <w:rPr>
          <w:rFonts w:ascii="Times New Roman" w:eastAsia="Times New Roman" w:hAnsi="Times New Roman" w:cs="Times New Roman"/>
          <w:kern w:val="0"/>
          <w14:ligatures w14:val="none"/>
        </w:rPr>
        <w:t xml:space="preserve"> | Bothell, WA | 2019 – Present</w:t>
      </w:r>
    </w:p>
    <w:p w14:paraId="02FC17BC" w14:textId="77777777" w:rsidR="007945A2" w:rsidRPr="007945A2" w:rsidRDefault="007945A2" w:rsidP="007945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t>Lead clinical development strategy for 2 ADC programs (TROP2-targeted and CEACAM5-targeted) across Phase 1-3, managing global teams of 45+ across Clinical Operations, Biostatistics, Data Management, and Medical Affairs</w:t>
      </w:r>
    </w:p>
    <w:p w14:paraId="1C2731EF" w14:textId="77777777" w:rsidR="007945A2" w:rsidRPr="007945A2" w:rsidRDefault="007945A2" w:rsidP="007945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t>Directed pivotal Phase 3 program for TROP2 ADC in triple-negative breast cancer; achieved primary endpoint, filed BLA in Q2 2024, FDA approval granted Q4 2024</w:t>
      </w:r>
    </w:p>
    <w:p w14:paraId="26B35EDE" w14:textId="77777777" w:rsidR="007945A2" w:rsidRPr="007945A2" w:rsidRDefault="007945A2" w:rsidP="007945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t>Established CMC-clinical bridge strategy for antibody engineering changes mid-development, securing FDA alignment through 3 Type C meetings</w:t>
      </w:r>
    </w:p>
    <w:p w14:paraId="4A4B283D" w14:textId="77777777" w:rsidR="007945A2" w:rsidRPr="007945A2" w:rsidRDefault="007945A2" w:rsidP="007945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t>Built regulatory strategy and authored complete Module 2 (CTD) for 2 successful BLA submissions</w:t>
      </w:r>
    </w:p>
    <w:p w14:paraId="405391D7" w14:textId="77777777" w:rsidR="007945A2" w:rsidRPr="007945A2" w:rsidRDefault="007945A2" w:rsidP="007945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t xml:space="preserve">Negotiated Special Protocol Assessment (SPA) with FDA for Phase 3 bladder cancer </w:t>
      </w:r>
      <w:proofErr w:type="gramStart"/>
      <w:r w:rsidRPr="007945A2">
        <w:rPr>
          <w:rFonts w:ascii="Times New Roman" w:eastAsia="Times New Roman" w:hAnsi="Times New Roman" w:cs="Times New Roman"/>
          <w:kern w:val="0"/>
          <w14:ligatures w14:val="none"/>
        </w:rPr>
        <w:t>study;</w:t>
      </w:r>
      <w:proofErr w:type="gramEnd"/>
      <w:r w:rsidRPr="007945A2">
        <w:rPr>
          <w:rFonts w:ascii="Times New Roman" w:eastAsia="Times New Roman" w:hAnsi="Times New Roman" w:cs="Times New Roman"/>
          <w:kern w:val="0"/>
          <w14:ligatures w14:val="none"/>
        </w:rPr>
        <w:t xml:space="preserve"> secured agreement in single meeting cycle</w:t>
      </w:r>
    </w:p>
    <w:p w14:paraId="610EAB3D" w14:textId="77777777" w:rsidR="007945A2" w:rsidRPr="007945A2" w:rsidRDefault="007945A2" w:rsidP="007945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t>Manage $78M annual budget across 4 concurrent oncology programs</w:t>
      </w:r>
    </w:p>
    <w:p w14:paraId="0ACC1D9A" w14:textId="77777777" w:rsidR="007945A2" w:rsidRPr="007945A2" w:rsidRDefault="007945A2" w:rsidP="0079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Director, Clinical Development</w:t>
      </w:r>
      <w:r w:rsidRPr="007945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945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Confidential Pharma, Oncology Business Unit</w:t>
      </w:r>
      <w:r w:rsidRPr="007945A2">
        <w:rPr>
          <w:rFonts w:ascii="Times New Roman" w:eastAsia="Times New Roman" w:hAnsi="Times New Roman" w:cs="Times New Roman"/>
          <w:kern w:val="0"/>
          <w14:ligatures w14:val="none"/>
        </w:rPr>
        <w:t xml:space="preserve"> | Bothell, WA | 2015 – 2019</w:t>
      </w:r>
    </w:p>
    <w:p w14:paraId="539859A3" w14:textId="77777777" w:rsidR="007945A2" w:rsidRPr="007945A2" w:rsidRDefault="007945A2" w:rsidP="007945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t>Led Phase 2 development of ADC program across 5 tumor types, enrolling 380 patients across 65 global sites</w:t>
      </w:r>
    </w:p>
    <w:p w14:paraId="16B3A101" w14:textId="77777777" w:rsidR="007945A2" w:rsidRPr="007945A2" w:rsidRDefault="007945A2" w:rsidP="007945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t>Designed adaptive Phase 2/3 seamless trial for ovarian cancer indication</w:t>
      </w:r>
    </w:p>
    <w:p w14:paraId="04344E3A" w14:textId="77777777" w:rsidR="007945A2" w:rsidRPr="007945A2" w:rsidRDefault="007945A2" w:rsidP="007945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t>Established medical monitoring infrastructure and trained 8 physician monitors</w:t>
      </w:r>
    </w:p>
    <w:p w14:paraId="65A9B6A6" w14:textId="77777777" w:rsidR="007945A2" w:rsidRPr="007945A2" w:rsidRDefault="007945A2" w:rsidP="007945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t>Presented regulatory strategy to C-suite and Board of Directors quarterly</w:t>
      </w:r>
    </w:p>
    <w:p w14:paraId="3AD0E542" w14:textId="77777777" w:rsidR="007945A2" w:rsidRPr="007945A2" w:rsidRDefault="007945A2" w:rsidP="007945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t xml:space="preserve">Authored 12 peer-reviewed publications in </w:t>
      </w:r>
      <w:r w:rsidRPr="007945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Medicine</w:t>
      </w:r>
      <w:r w:rsidRPr="007945A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945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JCO</w:t>
      </w:r>
      <w:r w:rsidRPr="007945A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7945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Clinical Cancer Research</w:t>
      </w:r>
    </w:p>
    <w:p w14:paraId="7AF7DE7A" w14:textId="77777777" w:rsidR="007945A2" w:rsidRPr="007945A2" w:rsidRDefault="007945A2" w:rsidP="0079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Director, Late-Stage Oncology Development</w:t>
      </w:r>
      <w:r w:rsidRPr="007945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945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Confidential Pharma</w:t>
      </w:r>
      <w:r w:rsidRPr="007945A2">
        <w:rPr>
          <w:rFonts w:ascii="Times New Roman" w:eastAsia="Times New Roman" w:hAnsi="Times New Roman" w:cs="Times New Roman"/>
          <w:kern w:val="0"/>
          <w14:ligatures w14:val="none"/>
        </w:rPr>
        <w:t xml:space="preserve"> | East Hanover, NJ | 2011 – 2015</w:t>
      </w:r>
    </w:p>
    <w:p w14:paraId="121EF5CB" w14:textId="77777777" w:rsidR="007945A2" w:rsidRPr="007945A2" w:rsidRDefault="007945A2" w:rsidP="007945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t>Supported global Phase 3 programs for approved checkpoint inhibitor in melanoma and NSCLC</w:t>
      </w:r>
    </w:p>
    <w:p w14:paraId="48C82FCF" w14:textId="77777777" w:rsidR="007945A2" w:rsidRPr="007945A2" w:rsidRDefault="007945A2" w:rsidP="007945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t>Led clinical sections of 2 successful BLA submissions resulting in FDA approvals</w:t>
      </w:r>
    </w:p>
    <w:p w14:paraId="42DEE17B" w14:textId="77777777" w:rsidR="007945A2" w:rsidRPr="007945A2" w:rsidRDefault="007945A2" w:rsidP="007945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t>Managed relationships with 120+ principal investigators across US, EU, and Asia-Pacific</w:t>
      </w:r>
    </w:p>
    <w:p w14:paraId="7B7CF7E2" w14:textId="77777777" w:rsidR="007945A2" w:rsidRPr="007945A2" w:rsidRDefault="007945A2" w:rsidP="007945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t>Developed KOL engagement strategy supporting commercial launch planning</w:t>
      </w:r>
    </w:p>
    <w:p w14:paraId="043E8EE5" w14:textId="77777777" w:rsidR="007945A2" w:rsidRPr="007945A2" w:rsidRDefault="007945A2" w:rsidP="0079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Associate Director, Clinical Sciences</w:t>
      </w:r>
      <w:r w:rsidRPr="007945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945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Confidential Pharma</w:t>
      </w:r>
      <w:r w:rsidRPr="007945A2">
        <w:rPr>
          <w:rFonts w:ascii="Times New Roman" w:eastAsia="Times New Roman" w:hAnsi="Times New Roman" w:cs="Times New Roman"/>
          <w:kern w:val="0"/>
          <w14:ligatures w14:val="none"/>
        </w:rPr>
        <w:t xml:space="preserve"> | Princeton, NJ | 2008 – 2011</w:t>
      </w:r>
    </w:p>
    <w:p w14:paraId="6EFC88FB" w14:textId="77777777" w:rsidR="007945A2" w:rsidRPr="007945A2" w:rsidRDefault="007945A2" w:rsidP="007945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t>Clinical lead for Phase 2 immuno-oncology studies in renal cell carcinoma</w:t>
      </w:r>
    </w:p>
    <w:p w14:paraId="69200250" w14:textId="77777777" w:rsidR="007945A2" w:rsidRPr="007945A2" w:rsidRDefault="007945A2" w:rsidP="007945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t>Designed dose-optimization studies for novel biologics</w:t>
      </w:r>
    </w:p>
    <w:p w14:paraId="0C059E18" w14:textId="77777777" w:rsidR="007945A2" w:rsidRPr="007945A2" w:rsidRDefault="007945A2" w:rsidP="007945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t>Interfaced with CMC teams on formulation changes and comparability protocols</w:t>
      </w:r>
    </w:p>
    <w:p w14:paraId="4E8EA8D4" w14:textId="77777777" w:rsidR="007945A2" w:rsidRPr="007945A2" w:rsidRDefault="007945A2" w:rsidP="007945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pict w14:anchorId="110FAB2E">
          <v:rect id="_x0000_i1027" style="width:0;height:1.5pt" o:hralign="center" o:hrstd="t" o:hr="t" fillcolor="#a0a0a0" stroked="f"/>
        </w:pict>
      </w:r>
    </w:p>
    <w:p w14:paraId="51EFAA00" w14:textId="77777777" w:rsidR="007945A2" w:rsidRPr="007945A2" w:rsidRDefault="007945A2" w:rsidP="0079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</w:p>
    <w:p w14:paraId="7259ABCC" w14:textId="77777777" w:rsidR="007945A2" w:rsidRPr="007945A2" w:rsidRDefault="007945A2" w:rsidP="0079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of Business Administration (MBA), Healthcare Management</w:t>
      </w:r>
      <w:r w:rsidRPr="007945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945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Top-Tier East Coast Business School</w:t>
      </w:r>
      <w:r w:rsidRPr="007945A2">
        <w:rPr>
          <w:rFonts w:ascii="Times New Roman" w:eastAsia="Times New Roman" w:hAnsi="Times New Roman" w:cs="Times New Roman"/>
          <w:kern w:val="0"/>
          <w14:ligatures w14:val="none"/>
        </w:rPr>
        <w:t xml:space="preserve"> | 2014</w:t>
      </w:r>
    </w:p>
    <w:p w14:paraId="75209D3A" w14:textId="77777777" w:rsidR="007945A2" w:rsidRPr="007945A2" w:rsidRDefault="007945A2" w:rsidP="0079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Doctor of Medicine (MD)</w:t>
      </w:r>
      <w:r w:rsidRPr="007945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945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Top-Tier East Coast Medical School</w:t>
      </w:r>
      <w:r w:rsidRPr="007945A2">
        <w:rPr>
          <w:rFonts w:ascii="Times New Roman" w:eastAsia="Times New Roman" w:hAnsi="Times New Roman" w:cs="Times New Roman"/>
          <w:kern w:val="0"/>
          <w14:ligatures w14:val="none"/>
        </w:rPr>
        <w:t xml:space="preserve"> | 2004</w:t>
      </w:r>
    </w:p>
    <w:p w14:paraId="7F3CBE77" w14:textId="77777777" w:rsidR="007945A2" w:rsidRPr="007945A2" w:rsidRDefault="007945A2" w:rsidP="0079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Bachelor of Science, Biochemistry</w:t>
      </w:r>
      <w:r w:rsidRPr="007945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945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Top-Tier East Coast University</w:t>
      </w:r>
      <w:r w:rsidRPr="007945A2">
        <w:rPr>
          <w:rFonts w:ascii="Times New Roman" w:eastAsia="Times New Roman" w:hAnsi="Times New Roman" w:cs="Times New Roman"/>
          <w:kern w:val="0"/>
          <w14:ligatures w14:val="none"/>
        </w:rPr>
        <w:t xml:space="preserve"> | 2000</w:t>
      </w:r>
    </w:p>
    <w:p w14:paraId="5863D9EF" w14:textId="77777777" w:rsidR="007945A2" w:rsidRPr="007945A2" w:rsidRDefault="007945A2" w:rsidP="007945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pict w14:anchorId="2126B22C">
          <v:rect id="_x0000_i1028" style="width:0;height:1.5pt" o:hralign="center" o:hrstd="t" o:hr="t" fillcolor="#a0a0a0" stroked="f"/>
        </w:pict>
      </w:r>
    </w:p>
    <w:p w14:paraId="09AC85A9" w14:textId="77777777" w:rsidR="007945A2" w:rsidRPr="007945A2" w:rsidRDefault="007945A2" w:rsidP="0079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BOARD CERTIFICATIONS</w:t>
      </w:r>
    </w:p>
    <w:p w14:paraId="3A906416" w14:textId="77777777" w:rsidR="007945A2" w:rsidRPr="007945A2" w:rsidRDefault="007945A2" w:rsidP="007945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t>Board Certified, Medical Oncology (2007)</w:t>
      </w:r>
    </w:p>
    <w:p w14:paraId="505C629A" w14:textId="77777777" w:rsidR="007945A2" w:rsidRPr="007945A2" w:rsidRDefault="007945A2" w:rsidP="007945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t>Board Certified, Internal Medicine (2005)</w:t>
      </w:r>
    </w:p>
    <w:p w14:paraId="033F9A25" w14:textId="77777777" w:rsidR="007945A2" w:rsidRPr="007945A2" w:rsidRDefault="007945A2" w:rsidP="007945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t>Certified Clinical Research Professional (CCRP)</w:t>
      </w:r>
    </w:p>
    <w:p w14:paraId="3A093C02" w14:textId="77777777" w:rsidR="007945A2" w:rsidRPr="007945A2" w:rsidRDefault="007945A2" w:rsidP="007945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pict w14:anchorId="648DFDC6">
          <v:rect id="_x0000_i1029" style="width:0;height:1.5pt" o:hralign="center" o:hrstd="t" o:hr="t" fillcolor="#a0a0a0" stroked="f"/>
        </w:pict>
      </w:r>
    </w:p>
    <w:p w14:paraId="0F4FE5E9" w14:textId="77777777" w:rsidR="007945A2" w:rsidRPr="007945A2" w:rsidRDefault="007945A2" w:rsidP="0079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SELECTED PUBLICATIONS &amp; PRESENTATIONS</w:t>
      </w:r>
    </w:p>
    <w:p w14:paraId="0733C336" w14:textId="77777777" w:rsidR="007945A2" w:rsidRPr="007945A2" w:rsidRDefault="007945A2" w:rsidP="007945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t xml:space="preserve">Confidential Candidate, et al. "Registrational Trial Design for ADCs: Regulatory Considerations." </w:t>
      </w:r>
      <w:r w:rsidRPr="007945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Reviews Drug Discovery</w:t>
      </w:r>
      <w:r w:rsidRPr="007945A2">
        <w:rPr>
          <w:rFonts w:ascii="Times New Roman" w:eastAsia="Times New Roman" w:hAnsi="Times New Roman" w:cs="Times New Roman"/>
          <w:kern w:val="0"/>
          <w14:ligatures w14:val="none"/>
        </w:rPr>
        <w:t>. 2024;23(6):445-458.</w:t>
      </w:r>
    </w:p>
    <w:p w14:paraId="67D49E7F" w14:textId="77777777" w:rsidR="007945A2" w:rsidRPr="007945A2" w:rsidRDefault="007945A2" w:rsidP="007945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t xml:space="preserve">Confidential Candidate, et al. "Phase 3 Results of TROP2-Directed ADC in TNBC." </w:t>
      </w:r>
      <w:r w:rsidRPr="007945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New England Journal of Medicine</w:t>
      </w:r>
      <w:r w:rsidRPr="007945A2">
        <w:rPr>
          <w:rFonts w:ascii="Times New Roman" w:eastAsia="Times New Roman" w:hAnsi="Times New Roman" w:cs="Times New Roman"/>
          <w:kern w:val="0"/>
          <w14:ligatures w14:val="none"/>
        </w:rPr>
        <w:t>. 2024;390(15):1405-1416.</w:t>
      </w:r>
    </w:p>
    <w:p w14:paraId="62D14A99" w14:textId="77777777" w:rsidR="007945A2" w:rsidRPr="007945A2" w:rsidRDefault="007945A2" w:rsidP="007945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t xml:space="preserve">Confidential Candidate, et al. "CMC Strategy for Mid-Development ADC Modifications." </w:t>
      </w:r>
      <w:r w:rsidRPr="007945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Clinical Cancer Research</w:t>
      </w:r>
      <w:r w:rsidRPr="007945A2">
        <w:rPr>
          <w:rFonts w:ascii="Times New Roman" w:eastAsia="Times New Roman" w:hAnsi="Times New Roman" w:cs="Times New Roman"/>
          <w:kern w:val="0"/>
          <w14:ligatures w14:val="none"/>
        </w:rPr>
        <w:t>. 2023;29(8):1567-1578.</w:t>
      </w:r>
    </w:p>
    <w:p w14:paraId="1227AEF8" w14:textId="77777777" w:rsidR="007945A2" w:rsidRPr="007945A2" w:rsidRDefault="007945A2" w:rsidP="007945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t>Invited Speaker, "Regulatory Strategy for Complex Biologics," DIA Annual Meeting, 2023</w:t>
      </w:r>
    </w:p>
    <w:p w14:paraId="17701C57" w14:textId="77777777" w:rsidR="007945A2" w:rsidRPr="007945A2" w:rsidRDefault="007945A2" w:rsidP="007945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pict w14:anchorId="364D932F">
          <v:rect id="_x0000_i1030" style="width:0;height:1.5pt" o:hralign="center" o:hrstd="t" o:hr="t" fillcolor="#a0a0a0" stroked="f"/>
        </w:pict>
      </w:r>
    </w:p>
    <w:p w14:paraId="42FBEA94" w14:textId="77777777" w:rsidR="007945A2" w:rsidRPr="007945A2" w:rsidRDefault="007945A2" w:rsidP="0079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AWARDS &amp; RECOGNITION</w:t>
      </w:r>
    </w:p>
    <w:p w14:paraId="556319B7" w14:textId="77777777" w:rsidR="007945A2" w:rsidRPr="007945A2" w:rsidRDefault="007945A2" w:rsidP="007945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t>Company Leadership Excellence Award (2023)</w:t>
      </w:r>
    </w:p>
    <w:p w14:paraId="55DE552D" w14:textId="77777777" w:rsidR="007945A2" w:rsidRPr="007945A2" w:rsidRDefault="007945A2" w:rsidP="007945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t>"Top 40 Under 40" Healthcare Innovators, Regional Business Publication (2022)</w:t>
      </w:r>
    </w:p>
    <w:p w14:paraId="4D767511" w14:textId="77777777" w:rsidR="007945A2" w:rsidRPr="007945A2" w:rsidRDefault="007945A2" w:rsidP="007945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t>FDA Regulatory Science Award for ADC Development (2021)</w:t>
      </w:r>
    </w:p>
    <w:p w14:paraId="5475DF39" w14:textId="77777777" w:rsidR="007945A2" w:rsidRPr="007945A2" w:rsidRDefault="007945A2" w:rsidP="007945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pict w14:anchorId="59144E62">
          <v:rect id="_x0000_i1031" style="width:0;height:1.5pt" o:hralign="center" o:hrstd="t" o:hr="t" fillcolor="#a0a0a0" stroked="f"/>
        </w:pict>
      </w:r>
    </w:p>
    <w:p w14:paraId="49016393" w14:textId="77777777" w:rsidR="007945A2" w:rsidRPr="007945A2" w:rsidRDefault="007945A2" w:rsidP="0079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AFFILIATIONS</w:t>
      </w:r>
    </w:p>
    <w:p w14:paraId="5555DE62" w14:textId="77777777" w:rsidR="007945A2" w:rsidRPr="007945A2" w:rsidRDefault="007945A2" w:rsidP="007945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American Society of Clinical Oncology (ASCO) – Regulatory Affairs Committee Member</w:t>
      </w:r>
    </w:p>
    <w:p w14:paraId="5A414997" w14:textId="77777777" w:rsidR="007945A2" w:rsidRPr="007945A2" w:rsidRDefault="007945A2" w:rsidP="007945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t>Drug Information Association (DIA) – Advisory Board Member</w:t>
      </w:r>
    </w:p>
    <w:p w14:paraId="15B10697" w14:textId="77777777" w:rsidR="007945A2" w:rsidRPr="007945A2" w:rsidRDefault="007945A2" w:rsidP="007945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t>American Association for Cancer Research (AACR)</w:t>
      </w:r>
    </w:p>
    <w:p w14:paraId="43569570" w14:textId="77777777" w:rsidR="007945A2" w:rsidRPr="007945A2" w:rsidRDefault="007945A2" w:rsidP="007945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A2">
        <w:rPr>
          <w:rFonts w:ascii="Times New Roman" w:eastAsia="Times New Roman" w:hAnsi="Times New Roman" w:cs="Times New Roman"/>
          <w:kern w:val="0"/>
          <w14:ligatures w14:val="none"/>
        </w:rPr>
        <w:t>Regulatory Affairs Professionals Society (RAPS)</w:t>
      </w:r>
    </w:p>
    <w:p w14:paraId="63655191" w14:textId="77777777" w:rsidR="00F90CB3" w:rsidRDefault="00F90CB3"/>
    <w:sectPr w:rsidR="00F90CB3" w:rsidSect="007945A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1699C"/>
    <w:multiLevelType w:val="multilevel"/>
    <w:tmpl w:val="B87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E4923"/>
    <w:multiLevelType w:val="multilevel"/>
    <w:tmpl w:val="FCBC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E6F72"/>
    <w:multiLevelType w:val="multilevel"/>
    <w:tmpl w:val="748C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835A4"/>
    <w:multiLevelType w:val="multilevel"/>
    <w:tmpl w:val="490C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D2163"/>
    <w:multiLevelType w:val="multilevel"/>
    <w:tmpl w:val="32FC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54F94"/>
    <w:multiLevelType w:val="multilevel"/>
    <w:tmpl w:val="48869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882062"/>
    <w:multiLevelType w:val="multilevel"/>
    <w:tmpl w:val="2C62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62DDC"/>
    <w:multiLevelType w:val="multilevel"/>
    <w:tmpl w:val="036E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1491">
    <w:abstractNumId w:val="3"/>
  </w:num>
  <w:num w:numId="2" w16cid:durableId="1226528693">
    <w:abstractNumId w:val="4"/>
  </w:num>
  <w:num w:numId="3" w16cid:durableId="618799332">
    <w:abstractNumId w:val="0"/>
  </w:num>
  <w:num w:numId="4" w16cid:durableId="432360081">
    <w:abstractNumId w:val="7"/>
  </w:num>
  <w:num w:numId="5" w16cid:durableId="555121113">
    <w:abstractNumId w:val="6"/>
  </w:num>
  <w:num w:numId="6" w16cid:durableId="869142668">
    <w:abstractNumId w:val="5"/>
  </w:num>
  <w:num w:numId="7" w16cid:durableId="1779636435">
    <w:abstractNumId w:val="2"/>
  </w:num>
  <w:num w:numId="8" w16cid:durableId="715204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2C6"/>
    <w:rsid w:val="00550DB9"/>
    <w:rsid w:val="007945A2"/>
    <w:rsid w:val="00801453"/>
    <w:rsid w:val="00E562C6"/>
    <w:rsid w:val="00F9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D1B9DE"/>
  <w15:chartTrackingRefBased/>
  <w15:docId w15:val="{90C8C3F9-6C30-4311-8C66-4566801E5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2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2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2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2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860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561</Words>
  <Characters>3776</Characters>
  <Application>Microsoft Office Word</Application>
  <DocSecurity>0</DocSecurity>
  <Lines>78</Lines>
  <Paragraphs>48</Paragraphs>
  <ScaleCrop>false</ScaleCrop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2025-11-04T14:08:00Z</dcterms:created>
  <dcterms:modified xsi:type="dcterms:W3CDTF">2025-11-04T14:10:00Z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cd76ca69-4a97-443a-a879-f87bbd59d7ce</vt:lpwstr>
  </property>
</Properties>
</file>