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C5C7" w14:textId="686C85B8" w:rsidR="009F5577" w:rsidRPr="009F5577" w:rsidRDefault="009F5577" w:rsidP="009F557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CONFIDENTIAL CANDIDATE, MD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br/>
        <w:t>Seattle, WA</w:t>
      </w:r>
    </w:p>
    <w:p w14:paraId="16910FCE" w14:textId="77777777" w:rsidR="009F5577" w:rsidRPr="009F5577" w:rsidRDefault="009F5577" w:rsidP="009F55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pict w14:anchorId="7CB8DC98">
          <v:rect id="_x0000_i1025" style="width:0;height:1.5pt" o:hralign="center" o:hrstd="t" o:hr="t" fillcolor="#a0a0a0" stroked="f"/>
        </w:pict>
      </w:r>
    </w:p>
    <w:p w14:paraId="56180144" w14:textId="77777777" w:rsidR="009F5577" w:rsidRPr="009F5577" w:rsidRDefault="009F5577" w:rsidP="009F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71F566B7" w14:textId="77777777" w:rsidR="009F5577" w:rsidRPr="009F5577" w:rsidRDefault="009F5577" w:rsidP="009F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 xml:space="preserve">Board-certified Medical Oncologist and clinical development executive with 12+ years leading global oncology programs from Phase 1 through BLA submission. Deep expertise in antibody-drug conjugate (ADC) development, pivotal trial design, and regulatory strategy for solid tumors. Proven track record managing cross-functional teams across 15+ countries and securing FDA/EMA approvals. Recently led successful BLA filing for novel ADC in HER2+ gastric cancer. Seeking Executive Director role to drive next-generation targeted oncology programs. </w:t>
      </w:r>
      <w:r w:rsidRPr="009F5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compensation: $350K + 20% bonus. Open to opportunities around $395K.</w:t>
      </w:r>
    </w:p>
    <w:p w14:paraId="6E727297" w14:textId="77777777" w:rsidR="009F5577" w:rsidRPr="009F5577" w:rsidRDefault="009F5577" w:rsidP="009F55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pict w14:anchorId="5AF3B465">
          <v:rect id="_x0000_i1026" style="width:0;height:1.5pt" o:hralign="center" o:hrstd="t" o:hr="t" fillcolor="#a0a0a0" stroked="f"/>
        </w:pict>
      </w:r>
    </w:p>
    <w:p w14:paraId="37A2EB4A" w14:textId="77777777" w:rsidR="009F5577" w:rsidRPr="009F5577" w:rsidRDefault="009F5577" w:rsidP="009F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</w:p>
    <w:p w14:paraId="00294709" w14:textId="77777777" w:rsidR="009F5577" w:rsidRPr="009F5577" w:rsidRDefault="009F5577" w:rsidP="009F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Director, Clinical Development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55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 Therapeutics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t xml:space="preserve"> | Seattle, WA | 2019 – Present</w:t>
      </w:r>
    </w:p>
    <w:p w14:paraId="4A96CCE1" w14:textId="77777777" w:rsidR="009F5577" w:rsidRPr="009F5577" w:rsidRDefault="009F5577" w:rsidP="009F5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Led global clinical development strategy for novel ADC targeting HER2+ solid tumors, from Phase 1 dose escalation through successful BLA submission (Q4 2024)</w:t>
      </w:r>
    </w:p>
    <w:p w14:paraId="163EBED1" w14:textId="77777777" w:rsidR="009F5577" w:rsidRPr="009F5577" w:rsidRDefault="009F5577" w:rsidP="009F5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Managed pivotal Phase 3 trial enrolling 485 patients across 87 sites in North America, Europe, and Asia; achieved primary endpoint with statistically significant OS benefit (HR 0.68, p&lt;0.001)</w:t>
      </w:r>
    </w:p>
    <w:p w14:paraId="002B0915" w14:textId="77777777" w:rsidR="009F5577" w:rsidRPr="009F5577" w:rsidRDefault="009F5577" w:rsidP="009F5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Built and directed clinical operations team of 22 FTEs including medical monitors, clinical scientists, and project managers</w:t>
      </w:r>
    </w:p>
    <w:p w14:paraId="0E08241A" w14:textId="77777777" w:rsidR="009F5577" w:rsidRPr="009F5577" w:rsidRDefault="009F5577" w:rsidP="009F5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Established strategic partnerships with FDA (4 Type B meetings, 1 pre-BLA) and EMA (Scientific Advice), securing accelerated assessment designation</w:t>
      </w:r>
    </w:p>
    <w:p w14:paraId="695DB922" w14:textId="77777777" w:rsidR="009F5577" w:rsidRPr="009F5577" w:rsidRDefault="009F5577" w:rsidP="009F5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 xml:space="preserve">Authored 7 peer-reviewed publications in </w:t>
      </w:r>
      <w:r w:rsidRPr="009F55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JCO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55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Lancet Oncology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F55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NEJM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t xml:space="preserve"> on ADC clinical development</w:t>
      </w:r>
    </w:p>
    <w:p w14:paraId="4B9444B1" w14:textId="77777777" w:rsidR="009F5577" w:rsidRPr="009F5577" w:rsidRDefault="009F5577" w:rsidP="009F5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Oversaw $45M annual clinical budget with consistent on-time, on-budget delivery</w:t>
      </w:r>
    </w:p>
    <w:p w14:paraId="121C2993" w14:textId="77777777" w:rsidR="009F5577" w:rsidRPr="009F5577" w:rsidRDefault="009F5577" w:rsidP="009F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Director, Clinical Development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55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 Therapeutics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t xml:space="preserve"> | Seattle, WA | 2016 – 2019</w:t>
      </w:r>
    </w:p>
    <w:p w14:paraId="5D7395C3" w14:textId="77777777" w:rsidR="009F5577" w:rsidRPr="009F5577" w:rsidRDefault="009F5577" w:rsidP="009F5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Designed and executed Phase 1/2 dose-escalation and expansion study for ADC program in 125 patients with HER2+ advanced solid tumors</w:t>
      </w:r>
    </w:p>
    <w:p w14:paraId="36453DDF" w14:textId="77777777" w:rsidR="009F5577" w:rsidRPr="009F5577" w:rsidRDefault="009F5577" w:rsidP="009F5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Led tumor board discussions and biomarker strategy development for patient selection criteria</w:t>
      </w:r>
    </w:p>
    <w:p w14:paraId="19635A4C" w14:textId="77777777" w:rsidR="009F5577" w:rsidRPr="009F5577" w:rsidRDefault="009F5577" w:rsidP="009F5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Managed medical monitoring activities and SAE adjudication for 3 concurrent early-phase oncology studies</w:t>
      </w:r>
    </w:p>
    <w:p w14:paraId="138BD7A0" w14:textId="77777777" w:rsidR="009F5577" w:rsidRPr="009F5577" w:rsidRDefault="009F5577" w:rsidP="009F5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Collaborated with CMC team on manufacturing scale-up to support pivotal program</w:t>
      </w:r>
    </w:p>
    <w:p w14:paraId="76DBC992" w14:textId="77777777" w:rsidR="009F5577" w:rsidRPr="009F5577" w:rsidRDefault="009F5577" w:rsidP="009F5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Presented data at ASCO, ESMO, and AACR (4 oral presentations, 6 posters)</w:t>
      </w:r>
    </w:p>
    <w:p w14:paraId="68D0EBEF" w14:textId="77777777" w:rsidR="009F5577" w:rsidRPr="009F5577" w:rsidRDefault="009F5577" w:rsidP="009F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Director, Clinical Sciences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55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 Biopharmaceuticals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t xml:space="preserve"> | South San Francisco, CA | 2013 – 2016</w:t>
      </w:r>
    </w:p>
    <w:p w14:paraId="31F82071" w14:textId="77777777" w:rsidR="009F5577" w:rsidRPr="009F5577" w:rsidRDefault="009F5577" w:rsidP="009F5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Supported clinical development of bispecific antibody for non-small cell lung cancer</w:t>
      </w:r>
    </w:p>
    <w:p w14:paraId="1701691E" w14:textId="77777777" w:rsidR="009F5577" w:rsidRPr="009F5577" w:rsidRDefault="009F5577" w:rsidP="009F5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Designed Phase 2 randomized study protocols and statistical analysis plans</w:t>
      </w:r>
    </w:p>
    <w:p w14:paraId="2C2A641D" w14:textId="77777777" w:rsidR="009F5577" w:rsidRPr="009F5577" w:rsidRDefault="009F5577" w:rsidP="009F5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Conducted investigator meetings and site qualification visits across 35 US sites</w:t>
      </w:r>
    </w:p>
    <w:p w14:paraId="714F798F" w14:textId="77777777" w:rsidR="009F5577" w:rsidRPr="009F5577" w:rsidRDefault="009F5577" w:rsidP="009F5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Authored clinical sections of INDs and clinical study reports</w:t>
      </w:r>
    </w:p>
    <w:p w14:paraId="10F758AA" w14:textId="77777777" w:rsidR="009F5577" w:rsidRPr="009F5577" w:rsidRDefault="009F5577" w:rsidP="009F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Clinical Research Physician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55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 Cancer Institute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t xml:space="preserve"> | Palo Alto, CA | 2011 – 2013</w:t>
      </w:r>
    </w:p>
    <w:p w14:paraId="7C113304" w14:textId="77777777" w:rsidR="009F5577" w:rsidRPr="009F5577" w:rsidRDefault="009F5577" w:rsidP="009F5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Served as site PI for 12 industry-sponsored oncology trials</w:t>
      </w:r>
    </w:p>
    <w:p w14:paraId="3ADF28AC" w14:textId="77777777" w:rsidR="009F5577" w:rsidRPr="009F5577" w:rsidRDefault="009F5577" w:rsidP="009F5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5577">
        <w:rPr>
          <w:rFonts w:ascii="Times New Roman" w:eastAsia="Times New Roman" w:hAnsi="Times New Roman" w:cs="Times New Roman"/>
          <w:kern w:val="0"/>
          <w14:ligatures w14:val="none"/>
        </w:rPr>
        <w:t>Enrolled and managed 87 patients</w:t>
      </w:r>
      <w:proofErr w:type="gramEnd"/>
      <w:r w:rsidRPr="009F5577">
        <w:rPr>
          <w:rFonts w:ascii="Times New Roman" w:eastAsia="Times New Roman" w:hAnsi="Times New Roman" w:cs="Times New Roman"/>
          <w:kern w:val="0"/>
          <w14:ligatures w14:val="none"/>
        </w:rPr>
        <w:t xml:space="preserve"> in early- and late-phase studies</w:t>
      </w:r>
    </w:p>
    <w:p w14:paraId="1E283104" w14:textId="77777777" w:rsidR="009F5577" w:rsidRPr="009F5577" w:rsidRDefault="009F5577" w:rsidP="009F5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Published 8 manuscripts on novel targeted therapies in lung and breast cancer</w:t>
      </w:r>
    </w:p>
    <w:p w14:paraId="06ED3AD4" w14:textId="77777777" w:rsidR="009F5577" w:rsidRPr="009F5577" w:rsidRDefault="009F5577" w:rsidP="009F55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pict w14:anchorId="525C6639">
          <v:rect id="_x0000_i1027" style="width:0;height:1.5pt" o:hralign="center" o:hrstd="t" o:hr="t" fillcolor="#a0a0a0" stroked="f"/>
        </w:pict>
      </w:r>
    </w:p>
    <w:p w14:paraId="55F6785C" w14:textId="77777777" w:rsidR="009F5577" w:rsidRPr="009F5577" w:rsidRDefault="009F5577" w:rsidP="009F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6B7434BD" w14:textId="77777777" w:rsidR="009F5577" w:rsidRPr="009F5577" w:rsidRDefault="009F5577" w:rsidP="009F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Doctor of Medicine (MD)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55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Major West Coast Medical School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t xml:space="preserve"> | 2007</w:t>
      </w:r>
    </w:p>
    <w:p w14:paraId="64183643" w14:textId="77777777" w:rsidR="009F5577" w:rsidRPr="009F5577" w:rsidRDefault="009F5577" w:rsidP="009F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Science, Molecular Biology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55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Major West Coast University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t xml:space="preserve"> | 2003</w:t>
      </w:r>
    </w:p>
    <w:p w14:paraId="0FE68F12" w14:textId="77777777" w:rsidR="009F5577" w:rsidRPr="009F5577" w:rsidRDefault="009F5577" w:rsidP="009F55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pict w14:anchorId="3DCA8940">
          <v:rect id="_x0000_i1028" style="width:0;height:1.5pt" o:hralign="center" o:hrstd="t" o:hr="t" fillcolor="#a0a0a0" stroked="f"/>
        </w:pict>
      </w:r>
    </w:p>
    <w:p w14:paraId="1B0B5A24" w14:textId="77777777" w:rsidR="009F5577" w:rsidRPr="009F5577" w:rsidRDefault="009F5577" w:rsidP="009F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CERTIFICATIONS &amp; TRAINING</w:t>
      </w:r>
    </w:p>
    <w:p w14:paraId="1D8DDE30" w14:textId="77777777" w:rsidR="009F5577" w:rsidRPr="009F5577" w:rsidRDefault="009F5577" w:rsidP="009F5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Board Certified, Medical Oncology (2011)</w:t>
      </w:r>
    </w:p>
    <w:p w14:paraId="6691995F" w14:textId="77777777" w:rsidR="009F5577" w:rsidRPr="009F5577" w:rsidRDefault="009F5577" w:rsidP="009F5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Board Certified, Internal Medicine (2009)</w:t>
      </w:r>
    </w:p>
    <w:p w14:paraId="7AB5CBB7" w14:textId="77777777" w:rsidR="009F5577" w:rsidRPr="009F5577" w:rsidRDefault="009F5577" w:rsidP="009F5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GCP Certification (renewed annually)</w:t>
      </w:r>
    </w:p>
    <w:p w14:paraId="2B553580" w14:textId="77777777" w:rsidR="009F5577" w:rsidRPr="009F5577" w:rsidRDefault="009F5577" w:rsidP="009F5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CCRP Certification (2013)</w:t>
      </w:r>
    </w:p>
    <w:p w14:paraId="7EF23973" w14:textId="77777777" w:rsidR="009F5577" w:rsidRPr="009F5577" w:rsidRDefault="009F5577" w:rsidP="009F55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pict w14:anchorId="1E002F59">
          <v:rect id="_x0000_i1029" style="width:0;height:1.5pt" o:hralign="center" o:hrstd="t" o:hr="t" fillcolor="#a0a0a0" stroked="f"/>
        </w:pict>
      </w:r>
    </w:p>
    <w:p w14:paraId="2D92FBB2" w14:textId="77777777" w:rsidR="009F5577" w:rsidRPr="009F5577" w:rsidRDefault="009F5577" w:rsidP="009F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SELECTED PUBLICATIONS</w:t>
      </w:r>
    </w:p>
    <w:p w14:paraId="7ACEAC82" w14:textId="77777777" w:rsidR="009F5577" w:rsidRPr="009F5577" w:rsidRDefault="009F5577" w:rsidP="009F5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 xml:space="preserve">Confidential Candidate, et al. "Pivotal Results of Novel ADC in HER2+ Gastric Cancer: A Phase 3 Trial." </w:t>
      </w:r>
      <w:r w:rsidRPr="009F55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England Journal of Medicine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. 2024;390(12):1089-1099.</w:t>
      </w:r>
    </w:p>
    <w:p w14:paraId="65BCF70D" w14:textId="77777777" w:rsidR="009F5577" w:rsidRPr="009F5577" w:rsidRDefault="009F5577" w:rsidP="009F5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 xml:space="preserve">Confidential Candidate, et al. "Safety and Efficacy of Novel ADC in Solid Tumors." </w:t>
      </w:r>
      <w:r w:rsidRPr="009F55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Clinical Oncology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. 2023;41(8):2456-2468.</w:t>
      </w:r>
    </w:p>
    <w:p w14:paraId="1D5EA96F" w14:textId="77777777" w:rsidR="009F5577" w:rsidRPr="009F5577" w:rsidRDefault="009F5577" w:rsidP="009F5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 xml:space="preserve">Confidential Candidate, et al. "Biomarker-Driven Patient Selection for ADC Therapy." </w:t>
      </w:r>
      <w:r w:rsidRPr="009F55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Lancet Oncology</w:t>
      </w: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. 2022;23(4):567-578.</w:t>
      </w:r>
    </w:p>
    <w:p w14:paraId="5396B687" w14:textId="77777777" w:rsidR="009F5577" w:rsidRPr="009F5577" w:rsidRDefault="009F5577" w:rsidP="009F55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pict w14:anchorId="08252DAC">
          <v:rect id="_x0000_i1030" style="width:0;height:1.5pt" o:hralign="center" o:hrstd="t" o:hr="t" fillcolor="#a0a0a0" stroked="f"/>
        </w:pict>
      </w:r>
    </w:p>
    <w:p w14:paraId="57E54384" w14:textId="77777777" w:rsidR="009F5577" w:rsidRPr="009F5577" w:rsidRDefault="009F5577" w:rsidP="009F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AFFILIATIONS</w:t>
      </w:r>
    </w:p>
    <w:p w14:paraId="115BFD11" w14:textId="77777777" w:rsidR="009F5577" w:rsidRPr="009F5577" w:rsidRDefault="009F5577" w:rsidP="009F5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American Society of Clinical Oncology (ASCO)</w:t>
      </w:r>
    </w:p>
    <w:p w14:paraId="11082E0D" w14:textId="77777777" w:rsidR="009F5577" w:rsidRPr="009F5577" w:rsidRDefault="009F5577" w:rsidP="009F5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American Association for Cancer Research (AACR)</w:t>
      </w:r>
    </w:p>
    <w:p w14:paraId="01DB5708" w14:textId="77777777" w:rsidR="009F5577" w:rsidRPr="009F5577" w:rsidRDefault="009F5577" w:rsidP="009F5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European Society for Medical Oncology (ESMO)</w:t>
      </w:r>
    </w:p>
    <w:p w14:paraId="56A68B1F" w14:textId="77777777" w:rsidR="009F5577" w:rsidRPr="009F5577" w:rsidRDefault="009F5577" w:rsidP="009F5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577">
        <w:rPr>
          <w:rFonts w:ascii="Times New Roman" w:eastAsia="Times New Roman" w:hAnsi="Times New Roman" w:cs="Times New Roman"/>
          <w:kern w:val="0"/>
          <w14:ligatures w14:val="none"/>
        </w:rPr>
        <w:t>Drug Information Association (DIA)</w:t>
      </w:r>
    </w:p>
    <w:p w14:paraId="52388541" w14:textId="77777777" w:rsidR="00F90CB3" w:rsidRDefault="00F90CB3"/>
    <w:sectPr w:rsidR="00F90CB3" w:rsidSect="009F55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14F4B"/>
    <w:multiLevelType w:val="multilevel"/>
    <w:tmpl w:val="6B30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13AB9"/>
    <w:multiLevelType w:val="multilevel"/>
    <w:tmpl w:val="FB7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764CE"/>
    <w:multiLevelType w:val="multilevel"/>
    <w:tmpl w:val="2380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A502E"/>
    <w:multiLevelType w:val="multilevel"/>
    <w:tmpl w:val="8982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B6AF8"/>
    <w:multiLevelType w:val="multilevel"/>
    <w:tmpl w:val="0BC4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510D3"/>
    <w:multiLevelType w:val="multilevel"/>
    <w:tmpl w:val="68C6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923512"/>
    <w:multiLevelType w:val="multilevel"/>
    <w:tmpl w:val="871C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41709">
    <w:abstractNumId w:val="3"/>
  </w:num>
  <w:num w:numId="2" w16cid:durableId="461310390">
    <w:abstractNumId w:val="0"/>
  </w:num>
  <w:num w:numId="3" w16cid:durableId="703792315">
    <w:abstractNumId w:val="2"/>
  </w:num>
  <w:num w:numId="4" w16cid:durableId="770665200">
    <w:abstractNumId w:val="1"/>
  </w:num>
  <w:num w:numId="5" w16cid:durableId="1558275957">
    <w:abstractNumId w:val="4"/>
  </w:num>
  <w:num w:numId="6" w16cid:durableId="453839561">
    <w:abstractNumId w:val="5"/>
  </w:num>
  <w:num w:numId="7" w16cid:durableId="1020468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77"/>
    <w:rsid w:val="00550DB9"/>
    <w:rsid w:val="00801453"/>
    <w:rsid w:val="009F5577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2C3946"/>
  <w15:chartTrackingRefBased/>
  <w15:docId w15:val="{FAA1CD52-FE51-4E0F-9A80-2A0D9873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3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517</Words>
  <Characters>3337</Characters>
  <Application>Microsoft Office Word</Application>
  <DocSecurity>0</DocSecurity>
  <Lines>71</Lines>
  <Paragraphs>43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2025-11-04T14:05:00Z</dcterms:created>
  <dcterms:modified xsi:type="dcterms:W3CDTF">2025-11-04T14:08:00Z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553744ab-2b4b-4059-a614-18154b739d88</vt:lpwstr>
  </property>
</Properties>
</file>