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DC38" w14:textId="5972EEAC" w:rsidR="00C60025" w:rsidRPr="00C60025" w:rsidRDefault="00C60025" w:rsidP="00C60025">
      <w:pPr>
        <w:pStyle w:val="font-claude-response-body"/>
        <w:jc w:val="center"/>
        <w:rPr>
          <w:sz w:val="32"/>
          <w:szCs w:val="32"/>
        </w:rPr>
      </w:pPr>
      <w:r w:rsidRPr="00C60025">
        <w:rPr>
          <w:rStyle w:val="Strong"/>
          <w:rFonts w:eastAsiaTheme="majorEastAsia"/>
          <w:sz w:val="32"/>
          <w:szCs w:val="32"/>
        </w:rPr>
        <w:t>Confidential Candidate</w:t>
      </w:r>
      <w:r w:rsidRPr="00C60025">
        <w:rPr>
          <w:sz w:val="32"/>
          <w:szCs w:val="32"/>
        </w:rPr>
        <w:br/>
      </w:r>
    </w:p>
    <w:p w14:paraId="45043E90" w14:textId="77777777" w:rsidR="00C60025" w:rsidRDefault="00C60025" w:rsidP="00C60025">
      <w:pPr>
        <w:pStyle w:val="font-claude-response-body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4EE0FB92" w14:textId="77777777" w:rsidR="00C60025" w:rsidRDefault="00C60025" w:rsidP="00C60025">
      <w:pPr>
        <w:pStyle w:val="font-claude-response-body"/>
      </w:pPr>
      <w:r>
        <w:t xml:space="preserve">Senior Medical Director with 12+ years leading obesity and metabolic disease clinical development across Big Pharma and emerging biotech. Deep expertise in GLP-1/GIP dual agonist programs, regulatory strategy, and BLA submissions with track record taking molecules from Phase 1 through commercial approval. Strategic </w:t>
      </w:r>
      <w:proofErr w:type="gramStart"/>
      <w:r>
        <w:t>leader</w:t>
      </w:r>
      <w:proofErr w:type="gramEnd"/>
      <w:r>
        <w:t xml:space="preserve"> known for building high-performing teams, navigating complex regulatory pathways, and maintaining composure under pressure. Currently seeking next-generation obesity therapeutic opportunity. Based near Waltham, MA with salary expectations around $240K.</w:t>
      </w:r>
    </w:p>
    <w:p w14:paraId="281FE10A" w14:textId="77777777" w:rsidR="00C60025" w:rsidRDefault="00C60025" w:rsidP="00C60025">
      <w:pPr>
        <w:pStyle w:val="font-claude-response-body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6A08FDAB" w14:textId="77777777" w:rsidR="00C60025" w:rsidRDefault="00C60025" w:rsidP="00C60025">
      <w:pPr>
        <w:pStyle w:val="font-claude-response-body"/>
      </w:pPr>
      <w:r>
        <w:rPr>
          <w:rStyle w:val="Strong"/>
          <w:rFonts w:eastAsiaTheme="majorEastAsia"/>
        </w:rPr>
        <w:t>Confidential Biosciences</w:t>
      </w:r>
      <w:r>
        <w:t xml:space="preserve"> (Large Pharma, Cambridge, MA)</w:t>
      </w:r>
      <w:r>
        <w:br/>
        <w:t>Senior Medical Director, Clinical Development | Mar 2019 - Present</w:t>
      </w:r>
    </w:p>
    <w:p w14:paraId="75F87C6F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Lead global clinical development strategy for novel GLP-1/GIP dual agonist obesity program from Phase 2 through BLA preparation, managing $80M+ annual budget</w:t>
      </w:r>
    </w:p>
    <w:p w14:paraId="58CA9D11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Designed and executed Phase 2 dose-finding study (n=350) and Phase 3 pivotal trials (n=2,400) demonstrating superior weight loss vs. standard of care with favorable cardiovascular safety profile</w:t>
      </w:r>
    </w:p>
    <w:p w14:paraId="6FF880FF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Author key clinical sections of BLA submission including Clinical Overview, Clinical Summary, and Study Reports, working closely with Regulatory to address FDA questions</w:t>
      </w:r>
    </w:p>
    <w:p w14:paraId="2B799F17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Manage team of 3 Medical Directors and 2 Medical Monitors supporting clinical operations across 120+ global sites in US, EU, and Asia</w:t>
      </w:r>
    </w:p>
    <w:p w14:paraId="73D8F0EC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Serve as primary medical contact for FDA interactions including Type B/C meetings, briefing packages, and responses to information requests</w:t>
      </w:r>
    </w:p>
    <w:p w14:paraId="649F7715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Build relationships with 25+ global key opinion leaders in obesity medicine, securing investigators and advisors for pivotal program</w:t>
      </w:r>
    </w:p>
    <w:p w14:paraId="54A84974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Present Phase 3 results at major medical conferences (ADA, ENDO, ESC) and author manuscripts in NEJM, Lancet Diabetes &amp; Endocrinology</w:t>
      </w:r>
    </w:p>
    <w:p w14:paraId="5716C566" w14:textId="77777777" w:rsidR="00C60025" w:rsidRDefault="00C60025" w:rsidP="00C60025">
      <w:pPr>
        <w:pStyle w:val="whitespace-normal"/>
        <w:numPr>
          <w:ilvl w:val="0"/>
          <w:numId w:val="1"/>
        </w:numPr>
      </w:pPr>
      <w:r>
        <w:t>Partner with Medical Affairs on HEOR strategy, real-world evidence generation, and payer engagement to support commercialization</w:t>
      </w:r>
    </w:p>
    <w:p w14:paraId="1F9FC73A" w14:textId="77777777" w:rsidR="00C60025" w:rsidRDefault="00C60025" w:rsidP="00C60025">
      <w:pPr>
        <w:pStyle w:val="font-claude-response-body"/>
      </w:pPr>
      <w:r>
        <w:rPr>
          <w:rStyle w:val="Strong"/>
          <w:rFonts w:eastAsiaTheme="majorEastAsia"/>
        </w:rPr>
        <w:t>Confidential Therapeutics</w:t>
      </w:r>
      <w:r>
        <w:t xml:space="preserve"> (Series C Metabolic Disease Biotech, Watertown, MA)</w:t>
      </w:r>
      <w:r>
        <w:br/>
        <w:t>Medical Director, Clinical Development | Jan 2017 - Feb 2019</w:t>
      </w:r>
    </w:p>
    <w:p w14:paraId="4FAAC87F" w14:textId="77777777" w:rsidR="00C60025" w:rsidRDefault="00C60025" w:rsidP="00C60025">
      <w:pPr>
        <w:pStyle w:val="whitespace-normal"/>
        <w:numPr>
          <w:ilvl w:val="0"/>
          <w:numId w:val="2"/>
        </w:numPr>
      </w:pPr>
      <w:r>
        <w:t>Led clinical development for oral GLP-1 receptor agonist from IND through Phase 2, achieving FDA clearance and advancing molecule to partnership discussions</w:t>
      </w:r>
    </w:p>
    <w:p w14:paraId="65DA9477" w14:textId="77777777" w:rsidR="00C60025" w:rsidRDefault="00C60025" w:rsidP="00C60025">
      <w:pPr>
        <w:pStyle w:val="whitespace-normal"/>
        <w:numPr>
          <w:ilvl w:val="0"/>
          <w:numId w:val="2"/>
        </w:numPr>
      </w:pPr>
      <w:r>
        <w:t>Designed Phase 1 and Phase 2a protocols evaluating safety, PK, and preliminary efficacy in 180 subjects with obesity and T2DM</w:t>
      </w:r>
    </w:p>
    <w:p w14:paraId="0D7E7B64" w14:textId="77777777" w:rsidR="00C60025" w:rsidRDefault="00C60025" w:rsidP="00C60025">
      <w:pPr>
        <w:pStyle w:val="whitespace-normal"/>
        <w:numPr>
          <w:ilvl w:val="0"/>
          <w:numId w:val="2"/>
        </w:numPr>
      </w:pPr>
      <w:r>
        <w:t>Managed medical monitoring activities, safety surveillance, and DSMB interactions with zero clinical holds or protocol violations</w:t>
      </w:r>
    </w:p>
    <w:p w14:paraId="48505CDB" w14:textId="77777777" w:rsidR="00C60025" w:rsidRDefault="00C60025" w:rsidP="00C60025">
      <w:pPr>
        <w:pStyle w:val="whitespace-normal"/>
        <w:numPr>
          <w:ilvl w:val="0"/>
          <w:numId w:val="2"/>
        </w:numPr>
      </w:pPr>
      <w:r>
        <w:t>Collaborated with CMC, Nonclinical, and Regulatory teams on IND preparation and FDA pre-IND meeting strategy</w:t>
      </w:r>
    </w:p>
    <w:p w14:paraId="4E0719DF" w14:textId="77777777" w:rsidR="00C60025" w:rsidRDefault="00C60025" w:rsidP="00C60025">
      <w:pPr>
        <w:pStyle w:val="whitespace-normal"/>
        <w:numPr>
          <w:ilvl w:val="0"/>
          <w:numId w:val="2"/>
        </w:numPr>
      </w:pPr>
      <w:r>
        <w:t>Built clinical operations infrastructure including site selection, CRO oversight, and data management systems</w:t>
      </w:r>
    </w:p>
    <w:p w14:paraId="01785177" w14:textId="77777777" w:rsidR="00C60025" w:rsidRDefault="00C60025" w:rsidP="00C60025">
      <w:pPr>
        <w:pStyle w:val="font-claude-response-body"/>
      </w:pPr>
      <w:r>
        <w:rPr>
          <w:rStyle w:val="Strong"/>
          <w:rFonts w:eastAsiaTheme="majorEastAsia"/>
        </w:rPr>
        <w:t>Confidential Pharma</w:t>
      </w:r>
      <w:r>
        <w:t xml:space="preserve"> (Large Pharma, Cambridge, MA)</w:t>
      </w:r>
      <w:r>
        <w:br/>
        <w:t>Medical Director, Clinical Development | Aug 2013 - Dec 2016</w:t>
      </w:r>
      <w:r>
        <w:br/>
        <w:t>Senior Medical Scientist | Jun 2011 - Jul 2013</w:t>
      </w:r>
    </w:p>
    <w:p w14:paraId="7FD9E059" w14:textId="77777777" w:rsidR="00C60025" w:rsidRDefault="00C60025" w:rsidP="00C60025">
      <w:pPr>
        <w:pStyle w:val="whitespace-normal"/>
        <w:numPr>
          <w:ilvl w:val="0"/>
          <w:numId w:val="3"/>
        </w:numPr>
      </w:pPr>
      <w:r>
        <w:lastRenderedPageBreak/>
        <w:t>Supported Phase 2/3 development of metabolic disease portfolio including diabetes, NASH, and obesity programs</w:t>
      </w:r>
    </w:p>
    <w:p w14:paraId="6480B748" w14:textId="77777777" w:rsidR="00C60025" w:rsidRDefault="00C60025" w:rsidP="00C60025">
      <w:pPr>
        <w:pStyle w:val="whitespace-normal"/>
        <w:numPr>
          <w:ilvl w:val="0"/>
          <w:numId w:val="3"/>
        </w:numPr>
      </w:pPr>
      <w:r>
        <w:t>Authored clinical sections of 3 NDAs/BLAs with successful FDA approvals, demonstrating regulatory writing expertise</w:t>
      </w:r>
    </w:p>
    <w:p w14:paraId="390441C3" w14:textId="77777777" w:rsidR="00C60025" w:rsidRDefault="00C60025" w:rsidP="00C60025">
      <w:pPr>
        <w:pStyle w:val="whitespace-normal"/>
        <w:numPr>
          <w:ilvl w:val="0"/>
          <w:numId w:val="3"/>
        </w:numPr>
      </w:pPr>
      <w:r>
        <w:t>Conducted medical monitoring for 5 Phase 3 studies across 200+ sites with exemplary safety oversight</w:t>
      </w:r>
    </w:p>
    <w:p w14:paraId="735BB24C" w14:textId="77777777" w:rsidR="00C60025" w:rsidRDefault="00C60025" w:rsidP="00C60025">
      <w:pPr>
        <w:pStyle w:val="whitespace-normal"/>
        <w:numPr>
          <w:ilvl w:val="0"/>
          <w:numId w:val="3"/>
        </w:numPr>
      </w:pPr>
      <w:r>
        <w:t>Represented Medical at FDA Advisory Committee meetings, presenting clinical data and responding to panel questions</w:t>
      </w:r>
    </w:p>
    <w:p w14:paraId="1FD4135C" w14:textId="77777777" w:rsidR="00C60025" w:rsidRDefault="00C60025" w:rsidP="00C60025">
      <w:pPr>
        <w:pStyle w:val="whitespace-normal"/>
        <w:numPr>
          <w:ilvl w:val="0"/>
          <w:numId w:val="3"/>
        </w:numPr>
      </w:pPr>
      <w:r>
        <w:t>Mentored junior medical scientists on protocol design, regulatory strategy, and medical monitoring best practices</w:t>
      </w:r>
    </w:p>
    <w:p w14:paraId="25F76CBE" w14:textId="77777777" w:rsidR="00C60025" w:rsidRDefault="00C60025" w:rsidP="00C60025">
      <w:pPr>
        <w:pStyle w:val="font-claude-response-body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201370F8" w14:textId="77777777" w:rsidR="00C60025" w:rsidRDefault="00C60025" w:rsidP="00C60025">
      <w:pPr>
        <w:pStyle w:val="font-claude-response-body"/>
      </w:pPr>
      <w:r>
        <w:t>University of Pennsylvania School of Medicine, 2011</w:t>
      </w:r>
      <w:r>
        <w:br/>
        <w:t>Doctor of Medicine (MD)</w:t>
      </w:r>
    </w:p>
    <w:p w14:paraId="24E1998F" w14:textId="77777777" w:rsidR="00C60025" w:rsidRDefault="00C60025" w:rsidP="00C60025">
      <w:pPr>
        <w:pStyle w:val="font-claude-response-body"/>
      </w:pPr>
      <w:r>
        <w:t>Stanford University, 2007</w:t>
      </w:r>
      <w:r>
        <w:br/>
        <w:t>Bachelor of Science in Biology, Summa Cum Laude</w:t>
      </w:r>
    </w:p>
    <w:p w14:paraId="7DCCD704" w14:textId="77777777" w:rsidR="00C60025" w:rsidRDefault="00C60025" w:rsidP="00C60025">
      <w:pPr>
        <w:pStyle w:val="font-claude-response-body"/>
        <w:pBdr>
          <w:bottom w:val="single" w:sz="4" w:space="1" w:color="auto"/>
        </w:pBdr>
      </w:pPr>
      <w:r>
        <w:rPr>
          <w:rStyle w:val="Strong"/>
          <w:rFonts w:eastAsiaTheme="majorEastAsia"/>
        </w:rPr>
        <w:t>AWARDS AND ACTIVITIES</w:t>
      </w:r>
    </w:p>
    <w:p w14:paraId="3661AD03" w14:textId="77777777" w:rsidR="00C60025" w:rsidRDefault="00C60025" w:rsidP="00C60025">
      <w:pPr>
        <w:pStyle w:val="font-claude-response-body"/>
      </w:pPr>
      <w:r>
        <w:t>2023 - Invited Speaker, "Regulatory Pathways for Obesity Therapeutics," FDA/Industry Workshop</w:t>
      </w:r>
      <w:r>
        <w:br/>
        <w:t>2021 - Excellence in Clinical Development Award, Confidential Biosciences</w:t>
      </w:r>
      <w:r>
        <w:br/>
        <w:t>2019 - Published Author, "GLP-1/GIP Dual Agonism in Obesity," Lancet Diabetes &amp; Endocrinology</w:t>
      </w:r>
      <w:r>
        <w:br/>
        <w:t>2011 - Alpha Omega Alpha Medical Honor Society</w:t>
      </w:r>
    </w:p>
    <w:p w14:paraId="298DB169" w14:textId="479FCAE7" w:rsidR="00DE5BC5" w:rsidRPr="00AF430F" w:rsidRDefault="00DE5BC5" w:rsidP="00AF430F"/>
    <w:sectPr w:rsidR="00DE5BC5" w:rsidRPr="00AF430F" w:rsidSect="00AF43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7267F"/>
    <w:multiLevelType w:val="multilevel"/>
    <w:tmpl w:val="1E0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A286D"/>
    <w:multiLevelType w:val="multilevel"/>
    <w:tmpl w:val="11F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B55C2"/>
    <w:multiLevelType w:val="multilevel"/>
    <w:tmpl w:val="8F2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192136">
    <w:abstractNumId w:val="0"/>
  </w:num>
  <w:num w:numId="2" w16cid:durableId="1372195161">
    <w:abstractNumId w:val="2"/>
  </w:num>
  <w:num w:numId="3" w16cid:durableId="1568689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0F"/>
    <w:rsid w:val="00640472"/>
    <w:rsid w:val="00757DCD"/>
    <w:rsid w:val="00AF430F"/>
    <w:rsid w:val="00C60025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4677"/>
  <w15:chartTrackingRefBased/>
  <w15:docId w15:val="{23D1247C-3258-48B1-B017-1C4F5B0A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0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60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002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60025"/>
    <w:rPr>
      <w:color w:val="0000FF"/>
      <w:u w:val="single"/>
    </w:rPr>
  </w:style>
  <w:style w:type="paragraph" w:customStyle="1" w:styleId="whitespace-normal">
    <w:name w:val="whitespace-normal"/>
    <w:basedOn w:val="Normal"/>
    <w:rsid w:val="00C60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3422</Characters>
  <Application>Microsoft Office Word</Application>
  <DocSecurity>0</DocSecurity>
  <Lines>63</Lines>
  <Paragraphs>34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2025-11-17T14:34:00Z</dcterms:created>
  <dcterms:modified xsi:type="dcterms:W3CDTF">2025-11-17T14:36:00Z</dcterms:modified>
</cp:coreProperties>
</file>