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5617D" w14:textId="77777777" w:rsidR="004F0F08" w:rsidRDefault="00E14B2A">
      <w:pPr>
        <w:spacing w:after="100"/>
        <w:jc w:val="center"/>
      </w:pPr>
      <w:r>
        <w:rPr>
          <w:b/>
          <w:bCs/>
          <w:color w:val="000000"/>
          <w:sz w:val="56"/>
          <w:szCs w:val="56"/>
        </w:rPr>
        <w:t>CONFIDENTIAL CANDIDATE</w:t>
      </w:r>
    </w:p>
    <w:p w14:paraId="45E9CDFA" w14:textId="77777777" w:rsidR="004F0F08" w:rsidRDefault="00E14B2A">
      <w:pPr>
        <w:spacing w:after="200"/>
        <w:jc w:val="center"/>
      </w:pPr>
      <w:r>
        <w:t>Newton, MA  |  Director, Clinical Data Management  |  14+ Years Experience</w:t>
      </w:r>
    </w:p>
    <w:p w14:paraId="358FDA4B" w14:textId="77777777" w:rsidR="004F0F08" w:rsidRDefault="00E14B2A">
      <w:pPr>
        <w:pBdr>
          <w:bottom w:val="single" w:sz="6" w:space="1" w:color="000000"/>
        </w:pBdr>
        <w:spacing w:before="200" w:after="60"/>
      </w:pPr>
      <w:r>
        <w:rPr>
          <w:b/>
          <w:bCs/>
          <w:sz w:val="22"/>
          <w:szCs w:val="22"/>
          <w:u w:val="single"/>
        </w:rPr>
        <w:t>PROFESSIONAL SUMMARY</w:t>
      </w:r>
    </w:p>
    <w:p w14:paraId="6AB64D5B" w14:textId="77777777" w:rsidR="004F0F08" w:rsidRDefault="00E14B2A">
      <w:pPr>
        <w:pStyle w:val="ListParagraph"/>
        <w:numPr>
          <w:ilvl w:val="0"/>
          <w:numId w:val="2"/>
        </w:numPr>
        <w:spacing w:before="40" w:after="40"/>
      </w:pPr>
      <w:r>
        <w:t>Accomplished CDM director with 14+ years building and scaling clinical data management functions at both CROs and mid-size pharma companies, with deep expertise in oligonucleotide, rare disease, and complex Phase I-IV trial environments.</w:t>
      </w:r>
    </w:p>
    <w:p w14:paraId="6EC27B4A" w14:textId="77777777" w:rsidR="004F0F08" w:rsidRDefault="00E14B2A">
      <w:pPr>
        <w:pStyle w:val="ListParagraph"/>
        <w:numPr>
          <w:ilvl w:val="0"/>
          <w:numId w:val="2"/>
        </w:numPr>
        <w:spacing w:before="40" w:after="40"/>
      </w:pPr>
      <w:r>
        <w:t>Expert in CDISC CDASH/SDTM implementation, Medidata Rave and Veeva Vault EDC platforms, RBQM frameworks, and end-to-end CRO oversight from study startup through regulatory submission.</w:t>
      </w:r>
    </w:p>
    <w:p w14:paraId="3600C0EA" w14:textId="77777777" w:rsidR="004F0F08" w:rsidRDefault="00E14B2A">
      <w:pPr>
        <w:pStyle w:val="ListParagraph"/>
        <w:numPr>
          <w:ilvl w:val="0"/>
          <w:numId w:val="2"/>
        </w:numPr>
        <w:spacing w:before="40" w:after="40"/>
      </w:pPr>
      <w:r>
        <w:t>Built two CDM departments from the ground up - establishing SOPs, vendor qualification standards, EDC governance models, and inspection-ready quality systems.</w:t>
      </w:r>
    </w:p>
    <w:p w14:paraId="55F5B4BD" w14:textId="77777777" w:rsidR="004F0F08" w:rsidRDefault="00E14B2A">
      <w:pPr>
        <w:pStyle w:val="ListParagraph"/>
        <w:numPr>
          <w:ilvl w:val="0"/>
          <w:numId w:val="2"/>
        </w:numPr>
        <w:spacing w:before="40" w:after="40"/>
      </w:pPr>
      <w:r>
        <w:t>Clean FDA inspection record across 9 studies; led team through one EMA audit with zero major findings. Known for calm, decisive leadership under tight submission timelines and complex data environments.</w:t>
      </w:r>
    </w:p>
    <w:p w14:paraId="4E23876F" w14:textId="77777777" w:rsidR="004F0F08" w:rsidRDefault="00E14B2A">
      <w:pPr>
        <w:pStyle w:val="ListParagraph"/>
        <w:numPr>
          <w:ilvl w:val="0"/>
          <w:numId w:val="2"/>
        </w:numPr>
        <w:spacing w:before="40" w:after="40"/>
      </w:pPr>
      <w:r>
        <w:t>Not actively searching, but open to the right strategic opportunity. Target compensation around $250K. Newton, MA - fully commutable to Cambridge for hybrid work.</w:t>
      </w:r>
    </w:p>
    <w:p w14:paraId="440F7FD2" w14:textId="77777777" w:rsidR="004F0F08" w:rsidRDefault="00E14B2A">
      <w:pPr>
        <w:pBdr>
          <w:bottom w:val="single" w:sz="6" w:space="1" w:color="000000"/>
        </w:pBdr>
        <w:spacing w:before="200" w:after="60"/>
      </w:pPr>
      <w:r>
        <w:rPr>
          <w:b/>
          <w:bCs/>
          <w:sz w:val="22"/>
          <w:szCs w:val="22"/>
          <w:u w:val="single"/>
        </w:rPr>
        <w:t>PROFESSIONAL EXPERIENCE</w:t>
      </w:r>
    </w:p>
    <w:p w14:paraId="21A7749B" w14:textId="77777777" w:rsidR="004F0F08" w:rsidRDefault="00E14B2A">
      <w:pPr>
        <w:spacing w:before="120" w:after="20"/>
      </w:pPr>
      <w:r>
        <w:rPr>
          <w:b/>
          <w:bCs/>
        </w:rPr>
        <w:t>Confidential Pharmaceuticals</w:t>
      </w:r>
      <w:r>
        <w:t xml:space="preserve">   Waltham, MA</w:t>
      </w:r>
    </w:p>
    <w:p w14:paraId="30312591" w14:textId="77777777" w:rsidR="004F0F08" w:rsidRDefault="00E14B2A">
      <w:pPr>
        <w:spacing w:after="60"/>
      </w:pPr>
      <w:r>
        <w:rPr>
          <w:b/>
          <w:bCs/>
        </w:rPr>
        <w:t>Director, Clinical Data Management  |  Sep 2018 - Present</w:t>
      </w:r>
    </w:p>
    <w:p w14:paraId="687AFB8C" w14:textId="77777777" w:rsidR="004F0F08" w:rsidRDefault="00E14B2A">
      <w:pPr>
        <w:pStyle w:val="ListParagraph"/>
        <w:numPr>
          <w:ilvl w:val="0"/>
          <w:numId w:val="2"/>
        </w:numPr>
        <w:spacing w:before="40" w:after="40"/>
      </w:pPr>
      <w:r>
        <w:t>Built CDM function from scratch at a 150-person specialty pharma company - recruited and developed a team of 7, established all SOPs, work instructions, and vendor qualification frameworks within 18 months of joining.</w:t>
      </w:r>
    </w:p>
    <w:p w14:paraId="51111BD3" w14:textId="77777777" w:rsidR="004F0F08" w:rsidRDefault="00E14B2A">
      <w:pPr>
        <w:pStyle w:val="ListParagraph"/>
        <w:numPr>
          <w:ilvl w:val="0"/>
          <w:numId w:val="2"/>
        </w:numPr>
        <w:spacing w:before="40" w:after="40"/>
      </w:pPr>
      <w:r>
        <w:t>Accountable for all data management deliverables across 5 concurrent Phase II-III programs in rare disease and CNS - DMPs, DVMs, Data Transfer Specifications, CRF guidelines, and SDTM-compliant datasets for regulatory submissions.</w:t>
      </w:r>
    </w:p>
    <w:p w14:paraId="1865520F" w14:textId="77777777" w:rsidR="004F0F08" w:rsidRDefault="00E14B2A">
      <w:pPr>
        <w:pStyle w:val="ListParagraph"/>
        <w:numPr>
          <w:ilvl w:val="0"/>
          <w:numId w:val="2"/>
        </w:numPr>
        <w:spacing w:before="40" w:after="40"/>
      </w:pPr>
      <w:r>
        <w:t>Implemented RBQM data monitoring strategy across 3 programs, reducing site monitoring visits by 28% while maintaining 100% data compliance against regulatory timelines.</w:t>
      </w:r>
    </w:p>
    <w:p w14:paraId="0209CC37" w14:textId="77777777" w:rsidR="004F0F08" w:rsidRDefault="00E14B2A">
      <w:pPr>
        <w:pStyle w:val="ListParagraph"/>
        <w:numPr>
          <w:ilvl w:val="0"/>
          <w:numId w:val="2"/>
        </w:numPr>
        <w:spacing w:before="40" w:after="40"/>
      </w:pPr>
      <w:r>
        <w:t>Deployed AI/ML-assisted data anomaly detection tools that reduced late query issuance by 40% and improved data lock timeline adherence from 72% to 96% across all active studies.</w:t>
      </w:r>
    </w:p>
    <w:p w14:paraId="4CEC0763" w14:textId="77777777" w:rsidR="004F0F08" w:rsidRDefault="00E14B2A">
      <w:pPr>
        <w:pStyle w:val="ListParagraph"/>
        <w:numPr>
          <w:ilvl w:val="0"/>
          <w:numId w:val="2"/>
        </w:numPr>
        <w:spacing w:before="40" w:after="40"/>
      </w:pPr>
      <w:r>
        <w:t>Led EDC platform migration from Oracle InForm to Veeva Vault Vault EDC across 4 active studies - completed within 11 weeks with zero data integrity findings.</w:t>
      </w:r>
    </w:p>
    <w:p w14:paraId="15E43DA8" w14:textId="77777777" w:rsidR="004F0F08" w:rsidRDefault="00E14B2A">
      <w:pPr>
        <w:pStyle w:val="ListParagraph"/>
        <w:numPr>
          <w:ilvl w:val="0"/>
          <w:numId w:val="2"/>
        </w:numPr>
        <w:spacing w:before="40" w:after="40"/>
      </w:pPr>
      <w:r>
        <w:t>Primary DM contact for two regulatory submissions (NDA and IND); participated in two FDA Type B meetings and led all DM preparation for one EMA inspection - zero major findings.</w:t>
      </w:r>
    </w:p>
    <w:p w14:paraId="701E1498" w14:textId="77777777" w:rsidR="004F0F08" w:rsidRDefault="00E14B2A">
      <w:pPr>
        <w:pStyle w:val="ListParagraph"/>
        <w:numPr>
          <w:ilvl w:val="0"/>
          <w:numId w:val="2"/>
        </w:numPr>
        <w:spacing w:before="40" w:after="40"/>
      </w:pPr>
      <w:r>
        <w:t>Partnered with CMO and Global Development Program Leads on clinical development strategic planning - contributed to Phase III protocol design, SAP input, and cross-functional data governance frameworks.</w:t>
      </w:r>
    </w:p>
    <w:p w14:paraId="4D08FEC2" w14:textId="77777777" w:rsidR="004F0F08" w:rsidRDefault="00E14B2A">
      <w:pPr>
        <w:pStyle w:val="ListParagraph"/>
        <w:numPr>
          <w:ilvl w:val="0"/>
          <w:numId w:val="2"/>
        </w:numPr>
        <w:spacing w:before="40" w:after="40"/>
      </w:pPr>
      <w:r>
        <w:t>Managed $3.2M annual CRO DM budget across 6 vendor relationships; renegotiated two CRO contracts resulting in $480K in annualized savings.</w:t>
      </w:r>
    </w:p>
    <w:p w14:paraId="6D2235E9" w14:textId="77777777" w:rsidR="004F0F08" w:rsidRDefault="00E14B2A">
      <w:pPr>
        <w:spacing w:before="120" w:after="20"/>
      </w:pPr>
      <w:r>
        <w:rPr>
          <w:b/>
          <w:bCs/>
        </w:rPr>
        <w:t>Confidential Biosciences</w:t>
      </w:r>
      <w:r>
        <w:t xml:space="preserve">   Cambridge, MA</w:t>
      </w:r>
    </w:p>
    <w:p w14:paraId="547B18E4" w14:textId="77777777" w:rsidR="004F0F08" w:rsidRDefault="00E14B2A">
      <w:pPr>
        <w:spacing w:after="60"/>
      </w:pPr>
      <w:r>
        <w:rPr>
          <w:b/>
          <w:bCs/>
        </w:rPr>
        <w:t>Associate Director, Clinical Data Management  |  Jun 2015 - Aug 2018</w:t>
      </w:r>
    </w:p>
    <w:p w14:paraId="1176B660" w14:textId="77777777" w:rsidR="004F0F08" w:rsidRDefault="00E14B2A">
      <w:pPr>
        <w:pStyle w:val="ListParagraph"/>
        <w:numPr>
          <w:ilvl w:val="0"/>
          <w:numId w:val="2"/>
        </w:numPr>
        <w:spacing w:before="40" w:after="40"/>
      </w:pPr>
      <w:r>
        <w:t>Directed CDM operations for a Phase I/II oligonucleotide program and two Phase II oncology studies, managing all CRO data cleaning activities, query lifecycle oversight, and SDTM deliverables.</w:t>
      </w:r>
    </w:p>
    <w:p w14:paraId="123F48A9" w14:textId="77777777" w:rsidR="004F0F08" w:rsidRDefault="00E14B2A">
      <w:pPr>
        <w:pStyle w:val="ListParagraph"/>
        <w:numPr>
          <w:ilvl w:val="0"/>
          <w:numId w:val="2"/>
        </w:numPr>
        <w:spacing w:before="40" w:after="40"/>
      </w:pPr>
      <w:r>
        <w:t>Established external data transfer specifications and reconciliation workflows for IXRS, eDiary, ECG central reader, and specialty lab vendors across 4 studies - 100% on-time delivery.</w:t>
      </w:r>
    </w:p>
    <w:p w14:paraId="20D32F52" w14:textId="77777777" w:rsidR="004F0F08" w:rsidRDefault="00E14B2A">
      <w:pPr>
        <w:pStyle w:val="ListParagraph"/>
        <w:numPr>
          <w:ilvl w:val="0"/>
          <w:numId w:val="2"/>
        </w:numPr>
        <w:spacing w:before="40" w:after="40"/>
      </w:pPr>
      <w:r>
        <w:t>Authored organization-wide CDISC CDASH implementation guide adopted as the internal data collection standard for all new study builds.</w:t>
      </w:r>
    </w:p>
    <w:p w14:paraId="60CB31E8" w14:textId="77777777" w:rsidR="004F0F08" w:rsidRDefault="00E14B2A">
      <w:pPr>
        <w:pStyle w:val="ListParagraph"/>
        <w:numPr>
          <w:ilvl w:val="0"/>
          <w:numId w:val="2"/>
        </w:numPr>
        <w:spacing w:before="40" w:after="40"/>
      </w:pPr>
      <w:r>
        <w:t>Supported preparation of clinical sections for two FDA IND applications and one EMA CTA - zero data management queries from regulatory agencies.</w:t>
      </w:r>
    </w:p>
    <w:p w14:paraId="6E46784E" w14:textId="77777777" w:rsidR="004F0F08" w:rsidRDefault="00E14B2A">
      <w:pPr>
        <w:spacing w:before="120" w:after="20"/>
      </w:pPr>
      <w:r>
        <w:rPr>
          <w:b/>
          <w:bCs/>
        </w:rPr>
        <w:t>Confidential Clinical Research Organization</w:t>
      </w:r>
      <w:r>
        <w:t xml:space="preserve">   Raleigh, NC / Remote</w:t>
      </w:r>
    </w:p>
    <w:p w14:paraId="20823F2D" w14:textId="77777777" w:rsidR="004F0F08" w:rsidRDefault="00E14B2A">
      <w:pPr>
        <w:spacing w:after="60"/>
      </w:pPr>
      <w:r>
        <w:rPr>
          <w:b/>
          <w:bCs/>
        </w:rPr>
        <w:t>Senior Clinical Data Manager  |  May 2012 - May 2015</w:t>
      </w:r>
    </w:p>
    <w:p w14:paraId="3FBE581F" w14:textId="77777777" w:rsidR="004F0F08" w:rsidRDefault="00E14B2A">
      <w:pPr>
        <w:pStyle w:val="ListParagraph"/>
        <w:numPr>
          <w:ilvl w:val="0"/>
          <w:numId w:val="2"/>
        </w:numPr>
        <w:spacing w:before="40" w:after="40"/>
      </w:pPr>
      <w:r>
        <w:t>Managed full-scope CDM for 12 Phase I-III oncology, rare disease, and neurology studies across 7 sponsor clients - database design, UAT, ongoing data review, and final delivery through statistical analysis.</w:t>
      </w:r>
    </w:p>
    <w:p w14:paraId="04476EA3" w14:textId="77777777" w:rsidR="004F0F08" w:rsidRDefault="00E14B2A">
      <w:pPr>
        <w:pStyle w:val="ListParagraph"/>
        <w:numPr>
          <w:ilvl w:val="0"/>
          <w:numId w:val="2"/>
        </w:numPr>
        <w:spacing w:before="40" w:after="40"/>
      </w:pPr>
      <w:r>
        <w:t>MedDRA and WHODrug dictionary coding lead for 4 sponsor programs; maintained audit-ready coding documentation across 40+ active verbatim-to-code mappings.</w:t>
      </w:r>
    </w:p>
    <w:p w14:paraId="436C20BB" w14:textId="77777777" w:rsidR="004F0F08" w:rsidRDefault="00E14B2A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Contributed to CRO business development team by presenting CDM capabilities to 3 prospective biotech clients - supported 2 contract awards.</w:t>
      </w:r>
    </w:p>
    <w:p w14:paraId="263084A5" w14:textId="77777777" w:rsidR="004F0F08" w:rsidRDefault="00E14B2A">
      <w:pPr>
        <w:spacing w:before="120" w:after="20"/>
      </w:pPr>
      <w:r>
        <w:rPr>
          <w:b/>
          <w:bCs/>
        </w:rPr>
        <w:t>Confidential Pharma Corporation</w:t>
      </w:r>
      <w:r>
        <w:t xml:space="preserve">   Raleigh, NC</w:t>
      </w:r>
    </w:p>
    <w:p w14:paraId="2E5D7832" w14:textId="77777777" w:rsidR="004F0F08" w:rsidRDefault="00E14B2A">
      <w:pPr>
        <w:spacing w:after="60"/>
      </w:pPr>
      <w:r>
        <w:rPr>
          <w:b/>
          <w:bCs/>
        </w:rPr>
        <w:t>Clinical Data Manager  |  Aug 2009 - Apr 2012</w:t>
      </w:r>
    </w:p>
    <w:p w14:paraId="52D8F03A" w14:textId="77777777" w:rsidR="004F0F08" w:rsidRDefault="00E14B2A">
      <w:pPr>
        <w:pStyle w:val="ListParagraph"/>
        <w:numPr>
          <w:ilvl w:val="0"/>
          <w:numId w:val="2"/>
        </w:numPr>
        <w:spacing w:before="40" w:after="40"/>
      </w:pPr>
      <w:r>
        <w:t>Entry-level to mid-level CDM roles supporting Phase II-IV cardiovascular and metabolic programs - database build, CRF design, query management, and regulatory deliverables for 6 studies.</w:t>
      </w:r>
    </w:p>
    <w:p w14:paraId="6784C7A5" w14:textId="77777777" w:rsidR="004F0F08" w:rsidRDefault="00E14B2A">
      <w:pPr>
        <w:pBdr>
          <w:bottom w:val="single" w:sz="6" w:space="1" w:color="000000"/>
        </w:pBdr>
        <w:spacing w:before="200" w:after="60"/>
      </w:pPr>
      <w:r>
        <w:rPr>
          <w:b/>
          <w:bCs/>
          <w:sz w:val="22"/>
          <w:szCs w:val="22"/>
          <w:u w:val="single"/>
        </w:rPr>
        <w:t>EDUCATION</w:t>
      </w:r>
    </w:p>
    <w:p w14:paraId="6BEBF854" w14:textId="77777777" w:rsidR="004F0F08" w:rsidRDefault="00E14B2A">
      <w:pPr>
        <w:spacing w:before="120" w:after="20"/>
      </w:pPr>
      <w:r>
        <w:rPr>
          <w:b/>
          <w:bCs/>
        </w:rPr>
        <w:t>Duke University</w:t>
      </w:r>
      <w:r>
        <w:t xml:space="preserve">   Durham, NC</w:t>
      </w:r>
    </w:p>
    <w:p w14:paraId="56A2A43A" w14:textId="77777777" w:rsidR="004F0F08" w:rsidRDefault="00E14B2A">
      <w:pPr>
        <w:spacing w:after="60"/>
      </w:pPr>
      <w:r>
        <w:rPr>
          <w:b/>
          <w:bCs/>
        </w:rPr>
        <w:t>M.S., Biomedical Sciences  |  May 2009</w:t>
      </w:r>
    </w:p>
    <w:p w14:paraId="38832CB2" w14:textId="77777777" w:rsidR="004F0F08" w:rsidRDefault="00E14B2A">
      <w:pPr>
        <w:spacing w:before="120" w:after="20"/>
      </w:pPr>
      <w:r>
        <w:rPr>
          <w:b/>
          <w:bCs/>
        </w:rPr>
        <w:t>University of North Carolina at Chapel Hill</w:t>
      </w:r>
      <w:r>
        <w:t xml:space="preserve">   Chapel Hill, NC</w:t>
      </w:r>
    </w:p>
    <w:p w14:paraId="1B568A86" w14:textId="77777777" w:rsidR="004F0F08" w:rsidRDefault="00E14B2A">
      <w:pPr>
        <w:spacing w:after="60"/>
      </w:pPr>
      <w:r>
        <w:rPr>
          <w:b/>
          <w:bCs/>
        </w:rPr>
        <w:t>B.S., Statistics &amp; Biology  |  May 2007</w:t>
      </w:r>
    </w:p>
    <w:p w14:paraId="620CF2B2" w14:textId="77777777" w:rsidR="004F0F08" w:rsidRDefault="00E14B2A">
      <w:pPr>
        <w:pBdr>
          <w:bottom w:val="single" w:sz="6" w:space="1" w:color="000000"/>
        </w:pBdr>
        <w:spacing w:before="200" w:after="60"/>
      </w:pPr>
      <w:r>
        <w:rPr>
          <w:b/>
          <w:bCs/>
          <w:sz w:val="22"/>
          <w:szCs w:val="22"/>
          <w:u w:val="single"/>
        </w:rPr>
        <w:t>TECHNICAL SKILLS &amp; CERTIFICATIONS</w:t>
      </w:r>
    </w:p>
    <w:p w14:paraId="25C78376" w14:textId="77777777" w:rsidR="004F0F08" w:rsidRDefault="00E14B2A">
      <w:pPr>
        <w:pStyle w:val="ListParagraph"/>
        <w:numPr>
          <w:ilvl w:val="0"/>
          <w:numId w:val="2"/>
        </w:numPr>
        <w:spacing w:before="40" w:after="40"/>
      </w:pPr>
      <w:r>
        <w:t>EDC Platforms: Medidata Rave, Veeva Vault EDC, Oracle InForm, Datatrak, REDCap</w:t>
      </w:r>
    </w:p>
    <w:p w14:paraId="720B15D0" w14:textId="77777777" w:rsidR="004F0F08" w:rsidRDefault="00E14B2A">
      <w:pPr>
        <w:pStyle w:val="ListParagraph"/>
        <w:numPr>
          <w:ilvl w:val="0"/>
          <w:numId w:val="2"/>
        </w:numPr>
        <w:spacing w:before="40" w:after="40"/>
      </w:pPr>
      <w:r>
        <w:t>Standards &amp; Coding: CDISC CDASH, SDTM, SEND, ADaM (review); MedDRA, WHODrug</w:t>
      </w:r>
    </w:p>
    <w:p w14:paraId="2E50C580" w14:textId="77777777" w:rsidR="004F0F08" w:rsidRDefault="00E14B2A">
      <w:pPr>
        <w:pStyle w:val="ListParagraph"/>
        <w:numPr>
          <w:ilvl w:val="0"/>
          <w:numId w:val="2"/>
        </w:numPr>
        <w:spacing w:before="40" w:after="40"/>
      </w:pPr>
      <w:r>
        <w:t>Regulatory Frameworks: FDA 21 CFR Part 11 &amp; 312, ICH E6(R2) GCP, EMA Annex 11, GDPR data privacy</w:t>
      </w:r>
    </w:p>
    <w:p w14:paraId="6BB57991" w14:textId="77777777" w:rsidR="004F0F08" w:rsidRDefault="00E14B2A">
      <w:pPr>
        <w:pStyle w:val="ListParagraph"/>
        <w:numPr>
          <w:ilvl w:val="0"/>
          <w:numId w:val="2"/>
        </w:numPr>
        <w:spacing w:before="40" w:after="40"/>
      </w:pPr>
      <w:r>
        <w:t>Technologies: SAS (data review), Python (basic data quality scripting), Tableau (metrics dashboards), JIRA, Smartsheet</w:t>
      </w:r>
    </w:p>
    <w:p w14:paraId="2C05A71D" w14:textId="77777777" w:rsidR="004F0F08" w:rsidRDefault="00E14B2A">
      <w:pPr>
        <w:pStyle w:val="ListParagraph"/>
        <w:numPr>
          <w:ilvl w:val="0"/>
          <w:numId w:val="2"/>
        </w:numPr>
        <w:spacing w:before="40" w:after="40"/>
      </w:pPr>
      <w:r>
        <w:t>Certified Clinical Data Manager (CCDM), Society for Clinical Data Management - 2014, renewed 2020</w:t>
      </w:r>
    </w:p>
    <w:p w14:paraId="6FE8CBB0" w14:textId="77777777" w:rsidR="004F0F08" w:rsidRDefault="00E14B2A">
      <w:pPr>
        <w:pBdr>
          <w:bottom w:val="single" w:sz="6" w:space="1" w:color="000000"/>
        </w:pBdr>
        <w:spacing w:before="200" w:after="60"/>
      </w:pPr>
      <w:r>
        <w:rPr>
          <w:b/>
          <w:bCs/>
          <w:sz w:val="22"/>
          <w:szCs w:val="22"/>
          <w:u w:val="single"/>
        </w:rPr>
        <w:t>PROFESSIONAL ACTIVITIES</w:t>
      </w:r>
    </w:p>
    <w:p w14:paraId="50DB1C11" w14:textId="77777777" w:rsidR="004F0F08" w:rsidRDefault="00E14B2A">
      <w:pPr>
        <w:pStyle w:val="ListParagraph"/>
        <w:numPr>
          <w:ilvl w:val="0"/>
          <w:numId w:val="2"/>
        </w:numPr>
        <w:spacing w:before="40" w:after="40"/>
      </w:pPr>
      <w:r>
        <w:t>Speaker, SCDM Annual Conference - 'RBQM in Practice: Lessons from Clinical-Stage Biotechs' (2022)</w:t>
      </w:r>
    </w:p>
    <w:p w14:paraId="00D09F35" w14:textId="77777777" w:rsidR="004F0F08" w:rsidRDefault="00E14B2A">
      <w:pPr>
        <w:pStyle w:val="ListParagraph"/>
        <w:numPr>
          <w:ilvl w:val="0"/>
          <w:numId w:val="2"/>
        </w:numPr>
        <w:spacing w:before="40" w:after="40"/>
      </w:pPr>
      <w:r>
        <w:t>Poster presentation, DIA Annual Meeting - 'AI-Assisted Data Review: Reducing Query Burden in Phase II Studies' (2023)</w:t>
      </w:r>
    </w:p>
    <w:p w14:paraId="5E785E5D" w14:textId="77777777" w:rsidR="004F0F08" w:rsidRDefault="00E14B2A">
      <w:pPr>
        <w:pStyle w:val="ListParagraph"/>
        <w:numPr>
          <w:ilvl w:val="0"/>
          <w:numId w:val="2"/>
        </w:numPr>
        <w:spacing w:before="40" w:after="40"/>
      </w:pPr>
      <w:r>
        <w:t>SCDM Member since 2012 | PhUSE Member since 2016</w:t>
      </w:r>
    </w:p>
    <w:sectPr w:rsidR="004F0F08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3676F8"/>
    <w:multiLevelType w:val="hybridMultilevel"/>
    <w:tmpl w:val="CF103F7E"/>
    <w:lvl w:ilvl="0" w:tplc="442A51DE">
      <w:start w:val="1"/>
      <w:numFmt w:val="bullet"/>
      <w:lvlText w:val="•"/>
      <w:lvlJc w:val="left"/>
      <w:pPr>
        <w:ind w:left="540" w:hanging="360"/>
      </w:pPr>
    </w:lvl>
    <w:lvl w:ilvl="1" w:tplc="371C838C">
      <w:numFmt w:val="decimal"/>
      <w:lvlText w:val=""/>
      <w:lvlJc w:val="left"/>
    </w:lvl>
    <w:lvl w:ilvl="2" w:tplc="F61878A4">
      <w:numFmt w:val="decimal"/>
      <w:lvlText w:val=""/>
      <w:lvlJc w:val="left"/>
    </w:lvl>
    <w:lvl w:ilvl="3" w:tplc="B0AE9D26">
      <w:numFmt w:val="decimal"/>
      <w:lvlText w:val=""/>
      <w:lvlJc w:val="left"/>
    </w:lvl>
    <w:lvl w:ilvl="4" w:tplc="324AC572">
      <w:numFmt w:val="decimal"/>
      <w:lvlText w:val=""/>
      <w:lvlJc w:val="left"/>
    </w:lvl>
    <w:lvl w:ilvl="5" w:tplc="4F0C0172">
      <w:numFmt w:val="decimal"/>
      <w:lvlText w:val=""/>
      <w:lvlJc w:val="left"/>
    </w:lvl>
    <w:lvl w:ilvl="6" w:tplc="AD4840D6">
      <w:numFmt w:val="decimal"/>
      <w:lvlText w:val=""/>
      <w:lvlJc w:val="left"/>
    </w:lvl>
    <w:lvl w:ilvl="7" w:tplc="A87E83C6">
      <w:numFmt w:val="decimal"/>
      <w:lvlText w:val=""/>
      <w:lvlJc w:val="left"/>
    </w:lvl>
    <w:lvl w:ilvl="8" w:tplc="CA0CC372">
      <w:numFmt w:val="decimal"/>
      <w:lvlText w:val=""/>
      <w:lvlJc w:val="left"/>
    </w:lvl>
  </w:abstractNum>
  <w:abstractNum w:abstractNumId="1" w15:restartNumberingAfterBreak="0">
    <w:nsid w:val="7E461A14"/>
    <w:multiLevelType w:val="hybridMultilevel"/>
    <w:tmpl w:val="317E0E90"/>
    <w:lvl w:ilvl="0" w:tplc="E4DA39C8">
      <w:start w:val="1"/>
      <w:numFmt w:val="bullet"/>
      <w:lvlText w:val="●"/>
      <w:lvlJc w:val="left"/>
      <w:pPr>
        <w:ind w:left="720" w:hanging="360"/>
      </w:pPr>
    </w:lvl>
    <w:lvl w:ilvl="1" w:tplc="0B700A92">
      <w:start w:val="1"/>
      <w:numFmt w:val="bullet"/>
      <w:lvlText w:val="○"/>
      <w:lvlJc w:val="left"/>
      <w:pPr>
        <w:ind w:left="1440" w:hanging="360"/>
      </w:pPr>
    </w:lvl>
    <w:lvl w:ilvl="2" w:tplc="057A8C32">
      <w:start w:val="1"/>
      <w:numFmt w:val="bullet"/>
      <w:lvlText w:val="■"/>
      <w:lvlJc w:val="left"/>
      <w:pPr>
        <w:ind w:left="2160" w:hanging="360"/>
      </w:pPr>
    </w:lvl>
    <w:lvl w:ilvl="3" w:tplc="F3A46F66">
      <w:start w:val="1"/>
      <w:numFmt w:val="bullet"/>
      <w:lvlText w:val="●"/>
      <w:lvlJc w:val="left"/>
      <w:pPr>
        <w:ind w:left="2880" w:hanging="360"/>
      </w:pPr>
    </w:lvl>
    <w:lvl w:ilvl="4" w:tplc="3E70CE70">
      <w:start w:val="1"/>
      <w:numFmt w:val="bullet"/>
      <w:lvlText w:val="○"/>
      <w:lvlJc w:val="left"/>
      <w:pPr>
        <w:ind w:left="3600" w:hanging="360"/>
      </w:pPr>
    </w:lvl>
    <w:lvl w:ilvl="5" w:tplc="1AACB812">
      <w:start w:val="1"/>
      <w:numFmt w:val="bullet"/>
      <w:lvlText w:val="■"/>
      <w:lvlJc w:val="left"/>
      <w:pPr>
        <w:ind w:left="4320" w:hanging="360"/>
      </w:pPr>
    </w:lvl>
    <w:lvl w:ilvl="6" w:tplc="081C96B4">
      <w:start w:val="1"/>
      <w:numFmt w:val="bullet"/>
      <w:lvlText w:val="●"/>
      <w:lvlJc w:val="left"/>
      <w:pPr>
        <w:ind w:left="5040" w:hanging="360"/>
      </w:pPr>
    </w:lvl>
    <w:lvl w:ilvl="7" w:tplc="16D8CDA4">
      <w:start w:val="1"/>
      <w:numFmt w:val="bullet"/>
      <w:lvlText w:val="●"/>
      <w:lvlJc w:val="left"/>
      <w:pPr>
        <w:ind w:left="5760" w:hanging="360"/>
      </w:pPr>
    </w:lvl>
    <w:lvl w:ilvl="8" w:tplc="C7F0EA8E">
      <w:start w:val="1"/>
      <w:numFmt w:val="bullet"/>
      <w:lvlText w:val="●"/>
      <w:lvlJc w:val="left"/>
      <w:pPr>
        <w:ind w:left="6480" w:hanging="360"/>
      </w:pPr>
    </w:lvl>
  </w:abstractNum>
  <w:num w:numId="1" w16cid:durableId="1421365605">
    <w:abstractNumId w:val="1"/>
    <w:lvlOverride w:ilvl="0">
      <w:startOverride w:val="1"/>
    </w:lvlOverride>
  </w:num>
  <w:num w:numId="2" w16cid:durableId="52822287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0F08"/>
    <w:rsid w:val="004F0F08"/>
    <w:rsid w:val="005047B3"/>
    <w:rsid w:val="00E14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C95B83"/>
  <w15:docId w15:val="{837930AF-2FF1-4F1A-92BB-A5AB16E52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752</Words>
  <Characters>4555</Characters>
  <Application>Microsoft Office Word</Application>
  <DocSecurity>0</DocSecurity>
  <Lines>69</Lines>
  <Paragraphs>48</Paragraphs>
  <ScaleCrop>false</ScaleCrop>
  <Company/>
  <LinksUpToDate>false</LinksUpToDate>
  <CharactersWithSpaces>5316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Bryan Blair</cp:lastModifiedBy>
  <cp:revision>2</cp:revision>
  <dcterms:created xsi:type="dcterms:W3CDTF">2026-03-10T21:20:00Z</dcterms:created>
  <dcterms:modified xsi:type="dcterms:W3CDTF">2026-03-10T21:20:00Z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12b9060e-d568-470c-8e5c-92e70f9120cf</vt:lpwstr>
  </property>
</Properties>
</file>