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AA30" w14:textId="77777777" w:rsidR="007F744C" w:rsidRDefault="007F744C" w:rsidP="007F744C">
      <w:pPr>
        <w:pStyle w:val="whitespace-normal"/>
        <w:jc w:val="center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CONFIDENTIAL CANDIDATE, MD</w:t>
      </w:r>
    </w:p>
    <w:p w14:paraId="119CF3DA" w14:textId="77777777" w:rsidR="007F744C" w:rsidRDefault="007F744C" w:rsidP="007F744C">
      <w:pPr>
        <w:pStyle w:val="whitespace-normal"/>
        <w:jc w:val="center"/>
      </w:pPr>
    </w:p>
    <w:p w14:paraId="28F97734" w14:textId="77777777" w:rsidR="007F744C" w:rsidRDefault="007F744C" w:rsidP="007F744C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055ED911" w14:textId="77777777" w:rsidR="007F744C" w:rsidRDefault="007F744C" w:rsidP="007F744C">
      <w:pPr>
        <w:pStyle w:val="whitespace-normal"/>
        <w:numPr>
          <w:ilvl w:val="0"/>
          <w:numId w:val="1"/>
        </w:numPr>
      </w:pPr>
      <w:r>
        <w:t>Cell and gene therapy executive with 20+ years driving CAR-T programs from discovery through global commercialization with 4 successful regulatory approvals across FDA, EMA, and NMPA</w:t>
      </w:r>
    </w:p>
    <w:p w14:paraId="22BA061E" w14:textId="77777777" w:rsidR="007F744C" w:rsidRDefault="007F744C" w:rsidP="007F744C">
      <w:pPr>
        <w:pStyle w:val="whitespace-normal"/>
        <w:numPr>
          <w:ilvl w:val="0"/>
          <w:numId w:val="1"/>
        </w:numPr>
      </w:pPr>
      <w:r>
        <w:t>Proven leader in building and scaling global clinical operations organizations of 100+ team members supporting multiple simultaneous registrational trials</w:t>
      </w:r>
    </w:p>
    <w:p w14:paraId="5589756E" w14:textId="77777777" w:rsidR="007F744C" w:rsidRDefault="007F744C" w:rsidP="007F744C">
      <w:pPr>
        <w:pStyle w:val="whitespace-normal"/>
        <w:numPr>
          <w:ilvl w:val="0"/>
          <w:numId w:val="1"/>
        </w:numPr>
      </w:pPr>
      <w:r>
        <w:t>Bilingual (English/Mandarin) strategic thinker known for calm leadership, regulatory acumen, and deep KOL networks in hematologic malignancies enabling accelerated development timelines</w:t>
      </w:r>
    </w:p>
    <w:p w14:paraId="156AD036" w14:textId="77777777" w:rsidR="007F744C" w:rsidRDefault="007F744C" w:rsidP="007F744C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3DC25387" w14:textId="77777777" w:rsidR="007F744C" w:rsidRDefault="007F744C" w:rsidP="007F744C">
      <w:pPr>
        <w:pStyle w:val="whitespace-normal"/>
      </w:pPr>
      <w:r>
        <w:rPr>
          <w:rStyle w:val="Strong"/>
          <w:rFonts w:eastAsiaTheme="majorEastAsia"/>
        </w:rPr>
        <w:t>Confidential Pharma</w:t>
      </w:r>
      <w:r>
        <w:t xml:space="preserve"> January 2016 - Present</w:t>
      </w:r>
      <w:r>
        <w:br/>
      </w:r>
      <w:r>
        <w:rPr>
          <w:rStyle w:val="Strong"/>
          <w:rFonts w:eastAsiaTheme="majorEastAsia"/>
        </w:rPr>
        <w:t>Senior Vice President, Global Clinical Development - Cell Therapy</w:t>
      </w:r>
      <w:r>
        <w:t xml:space="preserve"> June 2020 - Present</w:t>
      </w:r>
    </w:p>
    <w:p w14:paraId="630B2673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Lead global clinical development strategy and operations for cell therapy portfolio including 2 commercialized CAR-T products generating $2.1B annual revenue and 3 pipeline assets</w:t>
      </w:r>
    </w:p>
    <w:p w14:paraId="3DCF03C3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Built and scaled clinical operations organization from 35 to 120 professionals supporting trials across 18 countries with 85+ active clinical sites</w:t>
      </w:r>
    </w:p>
    <w:p w14:paraId="49D01E97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Achieved 4 successful regulatory approvals (2 FDA, 1 EMA, 1 NMPA) for CAR-T therapies treating multiple myeloma and lymphoma with zero complete response letters</w:t>
      </w:r>
    </w:p>
    <w:p w14:paraId="50325D06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Established manufacturing and supply chain strategies enabling patient access in emerging markets including China, resulting in 40% expansion of addressable patient population</w:t>
      </w:r>
    </w:p>
    <w:p w14:paraId="372784AC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Maintained strategic relationships with 25+ global KOLs driving publication strategy resulting in 18 high-impact journal publications and 40+ conference presentations</w:t>
      </w:r>
    </w:p>
    <w:p w14:paraId="02199DFE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Directed post-marketing commitments and real-world evidence generation programs supporting expanded label indications worth estimated $600M incremental revenue</w:t>
      </w:r>
    </w:p>
    <w:p w14:paraId="2BCED525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Partnered with regulatory affairs to navigate complex interactions with FDA ODAC, EMA CHMP, and NMPA CDE achieving consensus on accelerated approval pathways</w:t>
      </w:r>
    </w:p>
    <w:p w14:paraId="38D3A4F1" w14:textId="77777777" w:rsidR="007F744C" w:rsidRDefault="007F744C" w:rsidP="007F744C">
      <w:pPr>
        <w:pStyle w:val="whitespace-normal"/>
        <w:numPr>
          <w:ilvl w:val="0"/>
          <w:numId w:val="2"/>
        </w:numPr>
      </w:pPr>
      <w:r>
        <w:t>Led global medical affairs strategies for product launches including scientific communication plans, advisory boards, and investigator-sponsored trial programs</w:t>
      </w:r>
    </w:p>
    <w:p w14:paraId="2A6B7A62" w14:textId="77777777" w:rsidR="007F744C" w:rsidRDefault="007F744C" w:rsidP="007F744C">
      <w:pPr>
        <w:pStyle w:val="whitespace-normal"/>
      </w:pPr>
      <w:r>
        <w:rPr>
          <w:rStyle w:val="Strong"/>
          <w:rFonts w:eastAsiaTheme="majorEastAsia"/>
        </w:rPr>
        <w:t>Vice President, Clinical Development - Oncology</w:t>
      </w:r>
      <w:r>
        <w:t xml:space="preserve"> January 2016 - May 2020</w:t>
      </w:r>
    </w:p>
    <w:p w14:paraId="7842CA5B" w14:textId="77777777" w:rsidR="007F744C" w:rsidRDefault="007F744C" w:rsidP="007F744C">
      <w:pPr>
        <w:pStyle w:val="whitespace-normal"/>
        <w:numPr>
          <w:ilvl w:val="0"/>
          <w:numId w:val="3"/>
        </w:numPr>
      </w:pPr>
      <w:r>
        <w:t>Directed late-stage development programs for 2 CAR-T assets from Phase 2 through BLA submission and approval</w:t>
      </w:r>
    </w:p>
    <w:p w14:paraId="3559ED36" w14:textId="77777777" w:rsidR="007F744C" w:rsidRDefault="007F744C" w:rsidP="007F744C">
      <w:pPr>
        <w:pStyle w:val="whitespace-normal"/>
        <w:numPr>
          <w:ilvl w:val="0"/>
          <w:numId w:val="3"/>
        </w:numPr>
      </w:pPr>
      <w:r>
        <w:t>Managed $120M clinical operations budget with consistent on-time, on-budget delivery across 6 registrational trials</w:t>
      </w:r>
    </w:p>
    <w:p w14:paraId="55EDF6AD" w14:textId="77777777" w:rsidR="007F744C" w:rsidRDefault="007F744C" w:rsidP="007F744C">
      <w:pPr>
        <w:pStyle w:val="whitespace-normal"/>
        <w:numPr>
          <w:ilvl w:val="0"/>
          <w:numId w:val="3"/>
        </w:numPr>
      </w:pPr>
      <w:r>
        <w:t>Designed and executed pivotal trials in relapsed/refractory multiple myeloma demonstrating superior efficacy vs. standard of care with 83% overall response rate</w:t>
      </w:r>
    </w:p>
    <w:p w14:paraId="251D1E52" w14:textId="77777777" w:rsidR="007F744C" w:rsidRDefault="007F744C" w:rsidP="007F744C">
      <w:pPr>
        <w:pStyle w:val="whitespace-normal"/>
        <w:numPr>
          <w:ilvl w:val="0"/>
          <w:numId w:val="3"/>
        </w:numPr>
      </w:pPr>
      <w:r>
        <w:t>Led cross-functional teams spanning clinical operations, biostatistics, pharmacovigilance, regulatory, and medical affairs with 65 direct and indirect reports</w:t>
      </w:r>
    </w:p>
    <w:p w14:paraId="6920F09A" w14:textId="77777777" w:rsidR="007F744C" w:rsidRDefault="007F744C" w:rsidP="007F744C">
      <w:pPr>
        <w:pStyle w:val="whitespace-normal"/>
        <w:numPr>
          <w:ilvl w:val="0"/>
          <w:numId w:val="3"/>
        </w:numPr>
      </w:pPr>
      <w:r>
        <w:t xml:space="preserve">Implemented risk-based monitoring </w:t>
      </w:r>
      <w:proofErr w:type="gramStart"/>
      <w:r>
        <w:t>strategies</w:t>
      </w:r>
      <w:proofErr w:type="gramEnd"/>
      <w:r>
        <w:t xml:space="preserve"> reducing site monitoring costs by 30% while maintaining data quality</w:t>
      </w:r>
    </w:p>
    <w:p w14:paraId="2FBB225B" w14:textId="77777777" w:rsidR="007F744C" w:rsidRDefault="007F744C" w:rsidP="007F744C">
      <w:pPr>
        <w:pStyle w:val="whitespace-normal"/>
      </w:pPr>
      <w:r>
        <w:rPr>
          <w:rStyle w:val="Strong"/>
          <w:rFonts w:eastAsiaTheme="majorEastAsia"/>
        </w:rPr>
        <w:t>Confidential Biosciences</w:t>
      </w:r>
      <w:r>
        <w:t xml:space="preserve"> May 2010 - December 2015</w:t>
      </w:r>
      <w:r>
        <w:br/>
      </w:r>
      <w:r>
        <w:rPr>
          <w:rStyle w:val="Strong"/>
          <w:rFonts w:eastAsiaTheme="majorEastAsia"/>
        </w:rPr>
        <w:t>Executive Director, Clinical Sciences</w:t>
      </w:r>
      <w:r>
        <w:t xml:space="preserve"> August 2013 - December 2015</w:t>
      </w:r>
    </w:p>
    <w:p w14:paraId="3921D1CE" w14:textId="77777777" w:rsidR="007F744C" w:rsidRDefault="007F744C" w:rsidP="007F744C">
      <w:pPr>
        <w:pStyle w:val="whitespace-normal"/>
        <w:numPr>
          <w:ilvl w:val="0"/>
          <w:numId w:val="4"/>
        </w:numPr>
      </w:pPr>
      <w:r>
        <w:lastRenderedPageBreak/>
        <w:t>Led clinical development for early-stage immuno-oncology pipeline including adoptive cell therapy programs</w:t>
      </w:r>
    </w:p>
    <w:p w14:paraId="617A9005" w14:textId="77777777" w:rsidR="007F744C" w:rsidRDefault="007F744C" w:rsidP="007F744C">
      <w:pPr>
        <w:pStyle w:val="whitespace-normal"/>
        <w:numPr>
          <w:ilvl w:val="0"/>
          <w:numId w:val="4"/>
        </w:numPr>
      </w:pPr>
      <w:r>
        <w:t>Established China clinical development capabilities including site network development, regulatory submissions to NMPA, and local team building</w:t>
      </w:r>
    </w:p>
    <w:p w14:paraId="35F3F4E5" w14:textId="77777777" w:rsidR="007F744C" w:rsidRDefault="007F744C" w:rsidP="007F744C">
      <w:pPr>
        <w:pStyle w:val="whitespace-normal"/>
        <w:numPr>
          <w:ilvl w:val="0"/>
          <w:numId w:val="4"/>
        </w:numPr>
      </w:pPr>
      <w:r>
        <w:t>Directed IND-enabling studies and Phase 1 dose-escalation trials for 3 novel cell therapy constructs</w:t>
      </w:r>
    </w:p>
    <w:p w14:paraId="6B06D04D" w14:textId="77777777" w:rsidR="007F744C" w:rsidRDefault="007F744C" w:rsidP="007F744C">
      <w:pPr>
        <w:pStyle w:val="whitespace-normal"/>
        <w:numPr>
          <w:ilvl w:val="0"/>
          <w:numId w:val="4"/>
        </w:numPr>
      </w:pPr>
      <w:r>
        <w:t>Managed relationships with academic collaborators and technology licensors supporting external innovation strategy</w:t>
      </w:r>
    </w:p>
    <w:p w14:paraId="7F721560" w14:textId="77777777" w:rsidR="007F744C" w:rsidRDefault="007F744C" w:rsidP="007F744C">
      <w:pPr>
        <w:pStyle w:val="whitespace-normal"/>
      </w:pPr>
      <w:r>
        <w:rPr>
          <w:rStyle w:val="Strong"/>
          <w:rFonts w:eastAsiaTheme="majorEastAsia"/>
        </w:rPr>
        <w:t>Senior Director, Clinical Development</w:t>
      </w:r>
      <w:r>
        <w:t xml:space="preserve"> May 2010 - July 2013</w:t>
      </w:r>
    </w:p>
    <w:p w14:paraId="56AB0A5F" w14:textId="77777777" w:rsidR="007F744C" w:rsidRDefault="007F744C" w:rsidP="007F744C">
      <w:pPr>
        <w:pStyle w:val="whitespace-normal"/>
        <w:numPr>
          <w:ilvl w:val="0"/>
          <w:numId w:val="5"/>
        </w:numPr>
      </w:pPr>
      <w:r>
        <w:t>Led Phase 1/2 clinical programs in solid tumors and hematologic malignancies</w:t>
      </w:r>
    </w:p>
    <w:p w14:paraId="7AB9BA25" w14:textId="77777777" w:rsidR="007F744C" w:rsidRDefault="007F744C" w:rsidP="007F744C">
      <w:pPr>
        <w:pStyle w:val="whitespace-normal"/>
        <w:numPr>
          <w:ilvl w:val="0"/>
          <w:numId w:val="5"/>
        </w:numPr>
      </w:pPr>
      <w:r>
        <w:t>Designed innovative trial protocols incorporating biomarker strategies and adaptive designs</w:t>
      </w:r>
    </w:p>
    <w:p w14:paraId="42272343" w14:textId="77777777" w:rsidR="007F744C" w:rsidRDefault="007F744C" w:rsidP="007F744C">
      <w:pPr>
        <w:pStyle w:val="whitespace-normal"/>
        <w:numPr>
          <w:ilvl w:val="0"/>
          <w:numId w:val="5"/>
        </w:numPr>
      </w:pPr>
      <w:r>
        <w:t>Served as medical monitor for 8 concurrent early-stage oncology studies</w:t>
      </w:r>
    </w:p>
    <w:p w14:paraId="7280AB10" w14:textId="77777777" w:rsidR="007F744C" w:rsidRDefault="007F744C" w:rsidP="007F744C">
      <w:pPr>
        <w:pStyle w:val="whitespace-normal"/>
      </w:pPr>
      <w:r>
        <w:rPr>
          <w:rStyle w:val="Strong"/>
          <w:rFonts w:eastAsiaTheme="majorEastAsia"/>
        </w:rPr>
        <w:t>Confidential Cancer Center</w:t>
      </w:r>
      <w:r>
        <w:t xml:space="preserve"> July 2005 - April 2010</w:t>
      </w:r>
      <w:r>
        <w:br/>
      </w:r>
      <w:r>
        <w:rPr>
          <w:rStyle w:val="Strong"/>
          <w:rFonts w:eastAsiaTheme="majorEastAsia"/>
        </w:rPr>
        <w:t>Assistant Attending Physician, Lymphoma Service</w:t>
      </w:r>
    </w:p>
    <w:p w14:paraId="4D2F69F7" w14:textId="77777777" w:rsidR="007F744C" w:rsidRDefault="007F744C" w:rsidP="007F744C">
      <w:pPr>
        <w:pStyle w:val="whitespace-normal"/>
        <w:numPr>
          <w:ilvl w:val="0"/>
          <w:numId w:val="6"/>
        </w:numPr>
      </w:pPr>
      <w:r>
        <w:t>Treated patients with hematologic malignancies and participated in investigator-initiated CAR-T research</w:t>
      </w:r>
    </w:p>
    <w:p w14:paraId="2F010AF6" w14:textId="77777777" w:rsidR="007F744C" w:rsidRDefault="007F744C" w:rsidP="007F744C">
      <w:pPr>
        <w:pStyle w:val="whitespace-normal"/>
        <w:numPr>
          <w:ilvl w:val="0"/>
          <w:numId w:val="6"/>
        </w:numPr>
      </w:pPr>
      <w:r>
        <w:t>Published 15 peer-reviewed manuscripts on cellular immunotherapy and lymphoma treatment</w:t>
      </w:r>
    </w:p>
    <w:p w14:paraId="560E5E3A" w14:textId="77777777" w:rsidR="007F744C" w:rsidRDefault="007F744C" w:rsidP="007F744C">
      <w:pPr>
        <w:pStyle w:val="whitespace-normal"/>
        <w:numPr>
          <w:ilvl w:val="0"/>
          <w:numId w:val="6"/>
        </w:numPr>
      </w:pPr>
      <w:r>
        <w:t>Served as principal investigator on 4 investigator-sponsored CAR-T trials</w:t>
      </w:r>
    </w:p>
    <w:p w14:paraId="0041AF44" w14:textId="77777777" w:rsidR="007F744C" w:rsidRDefault="007F744C" w:rsidP="007F744C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72ED6F29" w14:textId="77777777" w:rsidR="007F744C" w:rsidRDefault="007F744C" w:rsidP="007F744C">
      <w:pPr>
        <w:pStyle w:val="whitespace-normal"/>
      </w:pPr>
      <w:r>
        <w:t>Confidential Medical School, 2005</w:t>
      </w:r>
      <w:r>
        <w:br/>
        <w:t>MD, Alpha Omega Alpha Honor Society</w:t>
      </w:r>
    </w:p>
    <w:p w14:paraId="19CE5F3A" w14:textId="77777777" w:rsidR="007F744C" w:rsidRDefault="007F744C" w:rsidP="007F744C">
      <w:pPr>
        <w:pStyle w:val="whitespace-normal"/>
      </w:pPr>
      <w:r>
        <w:t>Confidential University, 1998</w:t>
      </w:r>
      <w:r>
        <w:br/>
        <w:t>BA in Molecular Biology, Summa Cum Laude</w:t>
      </w:r>
    </w:p>
    <w:p w14:paraId="1D27E227" w14:textId="77777777" w:rsidR="007F744C" w:rsidRDefault="007F744C" w:rsidP="007F744C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LANGUAGES</w:t>
      </w:r>
    </w:p>
    <w:p w14:paraId="1E1BC0D8" w14:textId="77777777" w:rsidR="007F744C" w:rsidRDefault="007F744C" w:rsidP="007F744C">
      <w:pPr>
        <w:pStyle w:val="whitespace-normal"/>
      </w:pPr>
      <w:r>
        <w:t>Fluent in English and Mandarin Chinese (written and spoken)</w:t>
      </w:r>
    </w:p>
    <w:p w14:paraId="29C1EDAB" w14:textId="77777777" w:rsidR="007F744C" w:rsidRDefault="007F744C" w:rsidP="007F744C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CERTIFICATIONS &amp; LICENSES</w:t>
      </w:r>
    </w:p>
    <w:p w14:paraId="0FC792BD" w14:textId="77777777" w:rsidR="007F744C" w:rsidRDefault="007F744C" w:rsidP="007F744C">
      <w:pPr>
        <w:pStyle w:val="whitespace-normal"/>
      </w:pPr>
      <w:r>
        <w:t>Board Certified in Internal Medicine, Hematology, and Medical Oncology</w:t>
      </w:r>
      <w:r>
        <w:br/>
        <w:t>Active Medical License - California, New Jersey</w:t>
      </w:r>
    </w:p>
    <w:p w14:paraId="2E8E521E" w14:textId="77777777" w:rsidR="00F90CB3" w:rsidRDefault="00F90CB3"/>
    <w:sectPr w:rsidR="00F90CB3" w:rsidSect="007F74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7B8"/>
    <w:multiLevelType w:val="multilevel"/>
    <w:tmpl w:val="59D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52172"/>
    <w:multiLevelType w:val="multilevel"/>
    <w:tmpl w:val="935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4BBE"/>
    <w:multiLevelType w:val="multilevel"/>
    <w:tmpl w:val="04A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E628C"/>
    <w:multiLevelType w:val="multilevel"/>
    <w:tmpl w:val="C97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4247D"/>
    <w:multiLevelType w:val="multilevel"/>
    <w:tmpl w:val="1DF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57CEA"/>
    <w:multiLevelType w:val="multilevel"/>
    <w:tmpl w:val="CD7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75532">
    <w:abstractNumId w:val="1"/>
  </w:num>
  <w:num w:numId="2" w16cid:durableId="27684901">
    <w:abstractNumId w:val="5"/>
  </w:num>
  <w:num w:numId="3" w16cid:durableId="1880818782">
    <w:abstractNumId w:val="2"/>
  </w:num>
  <w:num w:numId="4" w16cid:durableId="1990278693">
    <w:abstractNumId w:val="3"/>
  </w:num>
  <w:num w:numId="5" w16cid:durableId="636959380">
    <w:abstractNumId w:val="4"/>
  </w:num>
  <w:num w:numId="6" w16cid:durableId="68197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4C"/>
    <w:rsid w:val="007F744C"/>
    <w:rsid w:val="00801453"/>
    <w:rsid w:val="00D15CA2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D0034"/>
  <w15:chartTrackingRefBased/>
  <w15:docId w15:val="{3B58B7F4-3DD7-4194-B31B-DF7BF8FD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44C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7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7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0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555</Words>
  <Characters>3827</Characters>
  <Application>Microsoft Office Word</Application>
  <DocSecurity>0</DocSecurity>
  <Lines>67</Lines>
  <Paragraphs>46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2025-10-28T19:18:00Z</dcterms:created>
  <dcterms:modified xsi:type="dcterms:W3CDTF">2025-10-28T19:21:00Z</dcterms:modified>
</cp:coreProperties>
</file>