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3E85" w14:textId="77777777" w:rsidR="00446654" w:rsidRDefault="00446654" w:rsidP="00A172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6654">
        <w:rPr>
          <w:rFonts w:ascii="Times New Roman" w:hAnsi="Times New Roman" w:cs="Times New Roman"/>
          <w:b/>
          <w:bCs/>
          <w:sz w:val="28"/>
          <w:szCs w:val="28"/>
        </w:rPr>
        <w:t>CONFIDENTIAL CANDIDATE, MD, PhD</w:t>
      </w:r>
    </w:p>
    <w:p w14:paraId="1BDB7FFD" w14:textId="77777777" w:rsidR="00A172E5" w:rsidRPr="00446654" w:rsidRDefault="00A172E5" w:rsidP="00A17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9433B6" w14:textId="77777777" w:rsidR="00446654" w:rsidRPr="00446654" w:rsidRDefault="00446654" w:rsidP="00A172E5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4B9098A5" w14:textId="77777777" w:rsidR="00446654" w:rsidRPr="00446654" w:rsidRDefault="00446654" w:rsidP="0044665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Oncology-focused clinical development executive with 18+ years leading CAR-T and cell therapy programs from Phase 1 through commercialization across US, EU, and Asian markets</w:t>
      </w:r>
    </w:p>
    <w:p w14:paraId="053CCF62" w14:textId="77777777" w:rsidR="00446654" w:rsidRPr="00446654" w:rsidRDefault="00446654" w:rsidP="0044665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Expert in global regulatory strategy, cross-functional team leadership, and late-stage immuno-oncology trial execution with proven track record of 2 successful BLA submissions for autologous cell therapies</w:t>
      </w:r>
    </w:p>
    <w:p w14:paraId="08EC8320" w14:textId="77777777" w:rsidR="00446654" w:rsidRPr="00446654" w:rsidRDefault="00446654" w:rsidP="0044665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Known for collaborative leadership style, building high-performing multinational teams, and maintaining strong relationships with FDA, EMA, and NMPA regulatory agencies</w:t>
      </w:r>
    </w:p>
    <w:p w14:paraId="746F0FA7" w14:textId="77777777" w:rsidR="00446654" w:rsidRPr="00446654" w:rsidRDefault="00446654" w:rsidP="00A172E5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63B8803D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Confidential Therapeutics</w:t>
      </w:r>
      <w:r w:rsidRPr="00446654">
        <w:rPr>
          <w:rFonts w:ascii="Times New Roman" w:hAnsi="Times New Roman" w:cs="Times New Roman"/>
          <w:sz w:val="22"/>
          <w:szCs w:val="22"/>
        </w:rPr>
        <w:t xml:space="preserve"> June 2018 - Present</w:t>
      </w:r>
      <w:r w:rsidRPr="00446654">
        <w:rPr>
          <w:rFonts w:ascii="Times New Roman" w:hAnsi="Times New Roman" w:cs="Times New Roman"/>
          <w:sz w:val="22"/>
          <w:szCs w:val="22"/>
        </w:rPr>
        <w:br/>
      </w:r>
      <w:r w:rsidRPr="00446654">
        <w:rPr>
          <w:rFonts w:ascii="Times New Roman" w:hAnsi="Times New Roman" w:cs="Times New Roman"/>
          <w:b/>
          <w:bCs/>
          <w:sz w:val="22"/>
          <w:szCs w:val="22"/>
        </w:rPr>
        <w:t>Vice President, Global Clinical Development</w:t>
      </w:r>
      <w:r w:rsidRPr="00446654">
        <w:rPr>
          <w:rFonts w:ascii="Times New Roman" w:hAnsi="Times New Roman" w:cs="Times New Roman"/>
          <w:sz w:val="22"/>
          <w:szCs w:val="22"/>
        </w:rPr>
        <w:t xml:space="preserve"> June 2021 - Present</w:t>
      </w:r>
    </w:p>
    <w:p w14:paraId="381C86B1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Led global clinical strategy and execution for 2 CAR-T programs targeting hematologic malignancies, resulting in successful BLA submissions in 2023 and 2024 generating $850M in projected revenue</w:t>
      </w:r>
    </w:p>
    <w:p w14:paraId="396808AC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Built and managed cross-functional teams of 42 professionals across clinical operations, medical affairs, biostatistics, and regulatory spanning 6 countries</w:t>
      </w:r>
    </w:p>
    <w:p w14:paraId="67217630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Established strategic partnerships with 15+ key opinion leaders in multiple myeloma and lymphoma, accelerating patient enrollment by 35% across pivotal trials</w:t>
      </w:r>
    </w:p>
    <w:p w14:paraId="09C00920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Designed and executed Phase 2/3 registrational trials for autologous CAR-T product with successful FDA/EMA approval achieving primary endpoints 4 months ahead of schedule</w:t>
      </w:r>
    </w:p>
    <w:p w14:paraId="272AC381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Maintained ongoing regulatory dialogue with FDA CBER, EMA CHMP, and NMPA resulting in streamlined approval pathways and reduced review timelines by average of 3 months</w:t>
      </w:r>
    </w:p>
    <w:p w14:paraId="2E9AEC27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Oversaw clinical operations budget of $85M annually with consistent delivery within 5% of projected costs</w:t>
      </w:r>
    </w:p>
    <w:p w14:paraId="0862682B" w14:textId="77777777" w:rsidR="00446654" w:rsidRPr="00446654" w:rsidRDefault="00446654" w:rsidP="0044665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Implemented risk management strategies for manufacturing and supply chain issues affecting clinical trials, ensuring zero study delays due to product availability</w:t>
      </w:r>
    </w:p>
    <w:p w14:paraId="4242DE7C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Senior Director, Clinical Development</w:t>
      </w:r>
      <w:r w:rsidRPr="00446654">
        <w:rPr>
          <w:rFonts w:ascii="Times New Roman" w:hAnsi="Times New Roman" w:cs="Times New Roman"/>
          <w:sz w:val="22"/>
          <w:szCs w:val="22"/>
        </w:rPr>
        <w:t xml:space="preserve"> June 2018 - May 2021</w:t>
      </w:r>
    </w:p>
    <w:p w14:paraId="1A5E22FA" w14:textId="77777777" w:rsidR="00446654" w:rsidRPr="00446654" w:rsidRDefault="00446654" w:rsidP="004466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Directed Phase 1/2 clinical programs for novel CAR-T constructs targeting CD19 and BCMA with 8-person clinical team</w:t>
      </w:r>
    </w:p>
    <w:p w14:paraId="287081D3" w14:textId="77777777" w:rsidR="00446654" w:rsidRPr="00446654" w:rsidRDefault="00446654" w:rsidP="004466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Led IND submissions and regulatory interactions for 2 early-stage cell therapy programs achieving FDA clearance within 45 days</w:t>
      </w:r>
    </w:p>
    <w:p w14:paraId="7F314D8C" w14:textId="77777777" w:rsidR="00446654" w:rsidRPr="00446654" w:rsidRDefault="00446654" w:rsidP="004466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Managed clinical site selection, activation, and oversight for 12 sites across US and EU with 98% protocol compliance rates</w:t>
      </w:r>
    </w:p>
    <w:p w14:paraId="2178E228" w14:textId="77777777" w:rsidR="00446654" w:rsidRPr="00446654" w:rsidRDefault="00446654" w:rsidP="004466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Developed clinical development plans and regulatory strategies for pipeline assets valued at $400M</w:t>
      </w:r>
    </w:p>
    <w:p w14:paraId="3588DA65" w14:textId="77777777" w:rsidR="00446654" w:rsidRPr="00446654" w:rsidRDefault="00446654" w:rsidP="004466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Established SOPs for cell therapy manufacturing oversight, patient monitoring, and adverse event management</w:t>
      </w:r>
    </w:p>
    <w:p w14:paraId="5E2F2191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Confidential Biopharma</w:t>
      </w:r>
      <w:r w:rsidRPr="00446654">
        <w:rPr>
          <w:rFonts w:ascii="Times New Roman" w:hAnsi="Times New Roman" w:cs="Times New Roman"/>
          <w:sz w:val="22"/>
          <w:szCs w:val="22"/>
        </w:rPr>
        <w:t xml:space="preserve"> March 2014 - May 2018</w:t>
      </w:r>
      <w:r w:rsidRPr="00446654">
        <w:rPr>
          <w:rFonts w:ascii="Times New Roman" w:hAnsi="Times New Roman" w:cs="Times New Roman"/>
          <w:sz w:val="22"/>
          <w:szCs w:val="22"/>
        </w:rPr>
        <w:br/>
      </w:r>
      <w:r w:rsidRPr="00446654">
        <w:rPr>
          <w:rFonts w:ascii="Times New Roman" w:hAnsi="Times New Roman" w:cs="Times New Roman"/>
          <w:b/>
          <w:bCs/>
          <w:sz w:val="22"/>
          <w:szCs w:val="22"/>
        </w:rPr>
        <w:t>Director, Clinical Science - Oncology</w:t>
      </w:r>
      <w:r w:rsidRPr="00446654">
        <w:rPr>
          <w:rFonts w:ascii="Times New Roman" w:hAnsi="Times New Roman" w:cs="Times New Roman"/>
          <w:sz w:val="22"/>
          <w:szCs w:val="22"/>
        </w:rPr>
        <w:t xml:space="preserve"> March 2016 - May 2018</w:t>
      </w:r>
    </w:p>
    <w:p w14:paraId="51279F73" w14:textId="77777777" w:rsidR="00446654" w:rsidRPr="00446654" w:rsidRDefault="00446654" w:rsidP="00446654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lastRenderedPageBreak/>
        <w:t>Managed Phase 2 clinical trials for immuno-oncology assets including checkpoint inhibitors and adoptive cell therapies</w:t>
      </w:r>
    </w:p>
    <w:p w14:paraId="781CEE91" w14:textId="77777777" w:rsidR="00446654" w:rsidRPr="00446654" w:rsidRDefault="00446654" w:rsidP="00446654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Led medical monitoring activities for 180+ patients across 8 clinical studies with zero protocol violations</w:t>
      </w:r>
    </w:p>
    <w:p w14:paraId="08F9312E" w14:textId="77777777" w:rsidR="00446654" w:rsidRPr="00446654" w:rsidRDefault="00446654" w:rsidP="00446654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Collaborated with biostatistics and data management teams to ensure data quality and regulatory readiness</w:t>
      </w:r>
    </w:p>
    <w:p w14:paraId="5AE078F7" w14:textId="77777777" w:rsidR="00446654" w:rsidRPr="00446654" w:rsidRDefault="00446654" w:rsidP="00446654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Authored clinical study reports, investigators brochures, and regulatory submission documents</w:t>
      </w:r>
    </w:p>
    <w:p w14:paraId="708D91F7" w14:textId="77777777" w:rsidR="00446654" w:rsidRPr="00446654" w:rsidRDefault="00446654" w:rsidP="00446654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Presented clinical data at ASH, ASCO, and AACR conferences generating significant KOL interest</w:t>
      </w:r>
    </w:p>
    <w:p w14:paraId="0225A2B3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Senior Clinical Scientist</w:t>
      </w:r>
      <w:r w:rsidRPr="00446654">
        <w:rPr>
          <w:rFonts w:ascii="Times New Roman" w:hAnsi="Times New Roman" w:cs="Times New Roman"/>
          <w:sz w:val="22"/>
          <w:szCs w:val="22"/>
        </w:rPr>
        <w:t xml:space="preserve"> March 2014 - February 2016</w:t>
      </w:r>
    </w:p>
    <w:p w14:paraId="78DF6B24" w14:textId="77777777" w:rsidR="00446654" w:rsidRPr="00446654" w:rsidRDefault="00446654" w:rsidP="00446654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Supported Phase 1/2 oncology trials as protocol lead and medical monitor</w:t>
      </w:r>
    </w:p>
    <w:p w14:paraId="2E1E342D" w14:textId="77777777" w:rsidR="00446654" w:rsidRPr="00446654" w:rsidRDefault="00446654" w:rsidP="00446654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Conducted site feasibility assessments and investigator meetings across 15 clinical sites</w:t>
      </w:r>
    </w:p>
    <w:p w14:paraId="57C462B6" w14:textId="77777777" w:rsidR="00446654" w:rsidRPr="00446654" w:rsidRDefault="00446654" w:rsidP="00446654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Developed case report forms, patient informed consents, and clinical operations manuals</w:t>
      </w:r>
    </w:p>
    <w:p w14:paraId="240BBB15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Confidential Academic Medical Center</w:t>
      </w:r>
      <w:r w:rsidRPr="00446654">
        <w:rPr>
          <w:rFonts w:ascii="Times New Roman" w:hAnsi="Times New Roman" w:cs="Times New Roman"/>
          <w:sz w:val="22"/>
          <w:szCs w:val="22"/>
        </w:rPr>
        <w:t xml:space="preserve"> July 2009 - February 2014</w:t>
      </w:r>
      <w:r w:rsidRPr="00446654">
        <w:rPr>
          <w:rFonts w:ascii="Times New Roman" w:hAnsi="Times New Roman" w:cs="Times New Roman"/>
          <w:sz w:val="22"/>
          <w:szCs w:val="22"/>
        </w:rPr>
        <w:br/>
      </w:r>
      <w:r w:rsidRPr="00446654">
        <w:rPr>
          <w:rFonts w:ascii="Times New Roman" w:hAnsi="Times New Roman" w:cs="Times New Roman"/>
          <w:b/>
          <w:bCs/>
          <w:sz w:val="22"/>
          <w:szCs w:val="22"/>
        </w:rPr>
        <w:t>Clinical Fellow, Hematology-Oncology</w:t>
      </w:r>
    </w:p>
    <w:p w14:paraId="7114DBBC" w14:textId="77777777" w:rsidR="00446654" w:rsidRPr="00446654" w:rsidRDefault="00446654" w:rsidP="00446654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Completed clinical and research fellowship in hematologic malignancies</w:t>
      </w:r>
    </w:p>
    <w:p w14:paraId="483EA399" w14:textId="77777777" w:rsidR="00446654" w:rsidRPr="00446654" w:rsidRDefault="00446654" w:rsidP="00446654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Published 12 peer-reviewed manuscripts on CAR-T therapy and cellular immunology</w:t>
      </w:r>
    </w:p>
    <w:p w14:paraId="2616F86E" w14:textId="77777777" w:rsidR="00446654" w:rsidRPr="00446654" w:rsidRDefault="00446654" w:rsidP="00446654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Participated in investigator-initiated CAR-T trials treating relapsed/refractory myeloma patients</w:t>
      </w:r>
    </w:p>
    <w:p w14:paraId="5A455140" w14:textId="77777777" w:rsidR="00446654" w:rsidRPr="00446654" w:rsidRDefault="00446654" w:rsidP="00A172E5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304AF46B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Confidential Medical School, 2009</w:t>
      </w:r>
      <w:r w:rsidRPr="00446654">
        <w:rPr>
          <w:rFonts w:ascii="Times New Roman" w:hAnsi="Times New Roman" w:cs="Times New Roman"/>
          <w:sz w:val="22"/>
          <w:szCs w:val="22"/>
        </w:rPr>
        <w:br/>
        <w:t>MD/PhD in Immunology, Cum Laude</w:t>
      </w:r>
    </w:p>
    <w:p w14:paraId="468F837D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Confidential University, 2002</w:t>
      </w:r>
      <w:r w:rsidRPr="00446654">
        <w:rPr>
          <w:rFonts w:ascii="Times New Roman" w:hAnsi="Times New Roman" w:cs="Times New Roman"/>
          <w:sz w:val="22"/>
          <w:szCs w:val="22"/>
        </w:rPr>
        <w:br/>
        <w:t>BS in Molecular Biophysics &amp; Biochemistry, Magna Cum Laude</w:t>
      </w:r>
    </w:p>
    <w:p w14:paraId="0AB42B5B" w14:textId="77777777" w:rsidR="00446654" w:rsidRPr="00446654" w:rsidRDefault="00446654" w:rsidP="00A172E5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b/>
          <w:bCs/>
          <w:sz w:val="22"/>
          <w:szCs w:val="22"/>
        </w:rPr>
        <w:t>CERTIFICATIONS &amp; LICENSES</w:t>
      </w:r>
    </w:p>
    <w:p w14:paraId="3CEFE679" w14:textId="77777777" w:rsidR="00446654" w:rsidRPr="00446654" w:rsidRDefault="00446654" w:rsidP="00446654">
      <w:pPr>
        <w:rPr>
          <w:rFonts w:ascii="Times New Roman" w:hAnsi="Times New Roman" w:cs="Times New Roman"/>
          <w:sz w:val="22"/>
          <w:szCs w:val="22"/>
        </w:rPr>
      </w:pPr>
      <w:r w:rsidRPr="00446654">
        <w:rPr>
          <w:rFonts w:ascii="Times New Roman" w:hAnsi="Times New Roman" w:cs="Times New Roman"/>
          <w:sz w:val="22"/>
          <w:szCs w:val="22"/>
        </w:rPr>
        <w:t>Board Certified in Internal Medicine and Medical Oncology</w:t>
      </w:r>
      <w:r w:rsidRPr="00446654">
        <w:rPr>
          <w:rFonts w:ascii="Times New Roman" w:hAnsi="Times New Roman" w:cs="Times New Roman"/>
          <w:sz w:val="22"/>
          <w:szCs w:val="22"/>
        </w:rPr>
        <w:br/>
        <w:t>Active Medical License - New York, New Jersey</w:t>
      </w:r>
    </w:p>
    <w:p w14:paraId="24E03FA2" w14:textId="77777777" w:rsidR="00F16DEB" w:rsidRPr="00275996" w:rsidRDefault="00F16DEB" w:rsidP="00F16DEB">
      <w:pPr>
        <w:rPr>
          <w:rFonts w:ascii="Times New Roman" w:hAnsi="Times New Roman" w:cs="Times New Roman"/>
          <w:sz w:val="22"/>
          <w:szCs w:val="22"/>
        </w:rPr>
      </w:pPr>
    </w:p>
    <w:p w14:paraId="203092C8" w14:textId="71F913B1" w:rsidR="00F90CB3" w:rsidRPr="00275996" w:rsidRDefault="00F90CB3" w:rsidP="00275996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F90CB3" w:rsidRPr="00275996" w:rsidSect="00F16D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3E6B"/>
    <w:multiLevelType w:val="multilevel"/>
    <w:tmpl w:val="8F6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3A98"/>
    <w:multiLevelType w:val="hybridMultilevel"/>
    <w:tmpl w:val="3264B508"/>
    <w:lvl w:ilvl="0" w:tplc="A5C05F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03594"/>
    <w:multiLevelType w:val="hybridMultilevel"/>
    <w:tmpl w:val="D92E3B30"/>
    <w:lvl w:ilvl="0" w:tplc="3D44D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B43A5"/>
    <w:multiLevelType w:val="multilevel"/>
    <w:tmpl w:val="931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533D0"/>
    <w:multiLevelType w:val="multilevel"/>
    <w:tmpl w:val="F3F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A10E2"/>
    <w:multiLevelType w:val="multilevel"/>
    <w:tmpl w:val="E0C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475D3"/>
    <w:multiLevelType w:val="multilevel"/>
    <w:tmpl w:val="DEE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D79CC"/>
    <w:multiLevelType w:val="hybridMultilevel"/>
    <w:tmpl w:val="6A62C7D6"/>
    <w:lvl w:ilvl="0" w:tplc="D86AD4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712E5"/>
    <w:multiLevelType w:val="multilevel"/>
    <w:tmpl w:val="0D8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8908">
    <w:abstractNumId w:val="1"/>
  </w:num>
  <w:num w:numId="2" w16cid:durableId="1653606684">
    <w:abstractNumId w:val="2"/>
  </w:num>
  <w:num w:numId="3" w16cid:durableId="1503547466">
    <w:abstractNumId w:val="7"/>
  </w:num>
  <w:num w:numId="4" w16cid:durableId="474183973">
    <w:abstractNumId w:val="4"/>
  </w:num>
  <w:num w:numId="5" w16cid:durableId="1892384027">
    <w:abstractNumId w:val="5"/>
  </w:num>
  <w:num w:numId="6" w16cid:durableId="1365402015">
    <w:abstractNumId w:val="3"/>
  </w:num>
  <w:num w:numId="7" w16cid:durableId="1801145422">
    <w:abstractNumId w:val="6"/>
  </w:num>
  <w:num w:numId="8" w16cid:durableId="221527170">
    <w:abstractNumId w:val="8"/>
  </w:num>
  <w:num w:numId="9" w16cid:durableId="11174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EB"/>
    <w:rsid w:val="00275996"/>
    <w:rsid w:val="00446654"/>
    <w:rsid w:val="00801453"/>
    <w:rsid w:val="00A172E5"/>
    <w:rsid w:val="00D15CA2"/>
    <w:rsid w:val="00F16DEB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36F2"/>
  <w15:chartTrackingRefBased/>
  <w15:docId w15:val="{8018E4D5-978A-449A-8216-1E373B6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570</Words>
  <Characters>3497</Characters>
  <Application>Microsoft Office Word</Application>
  <DocSecurity>0</DocSecurity>
  <Lines>87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2025-10-28T17:34:00Z</dcterms:created>
  <dcterms:modified xsi:type="dcterms:W3CDTF">2025-10-28T19:16:00Z</dcterms:modified>
</cp:coreProperties>
</file>