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CFFF1" w14:textId="13C86C34" w:rsidR="00BF01C8" w:rsidRDefault="00BF01C8" w:rsidP="00BF01C8">
      <w:pPr>
        <w:pStyle w:val="whitespace-normal"/>
        <w:jc w:val="center"/>
      </w:pPr>
      <w:r w:rsidRPr="00BF01C8">
        <w:rPr>
          <w:rStyle w:val="Strong"/>
          <w:rFonts w:eastAsiaTheme="majorEastAsia"/>
          <w:sz w:val="32"/>
          <w:szCs w:val="32"/>
        </w:rPr>
        <w:t>CONFIDENTIAL CANDIDATE</w:t>
      </w:r>
      <w:r>
        <w:br/>
        <w:t>Bay Area, CA</w:t>
      </w:r>
    </w:p>
    <w:p w14:paraId="7D23BDAD" w14:textId="77777777" w:rsidR="00BF01C8" w:rsidRDefault="00BF01C8" w:rsidP="00BF01C8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PROFESSIONAL SUMMARY</w:t>
      </w:r>
    </w:p>
    <w:p w14:paraId="5F30A33C" w14:textId="77777777" w:rsidR="00BF01C8" w:rsidRDefault="00BF01C8" w:rsidP="00BF01C8">
      <w:pPr>
        <w:pStyle w:val="whitespace-normal"/>
      </w:pPr>
      <w:r>
        <w:t xml:space="preserve">Strategic oncology clinical development leader with 14+ years driving precision medicine programs from Phase 1 through regulatory submissions. Deep expertise in RAS pathway biology and targeted therapies with proven success managing global, cross-functional teams. </w:t>
      </w:r>
      <w:proofErr w:type="gramStart"/>
      <w:r>
        <w:t>Known</w:t>
      </w:r>
      <w:proofErr w:type="gramEnd"/>
      <w:r>
        <w:t xml:space="preserve"> for collaborative leadership style, adaptive trial design innovation, and ability to navigate complex regulatory landscapes. Thrives in fast-paced biotech environments where scientific rigor meets operational excellence. Currently seeking senior leadership opportunity in Bay Area focusing on novel targeted oncology therapeutics. Compensation target: $260K base.</w:t>
      </w:r>
    </w:p>
    <w:p w14:paraId="67F32BB5" w14:textId="77777777" w:rsidR="00BF01C8" w:rsidRDefault="00BF01C8" w:rsidP="00BF01C8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PROFESSIONAL EXPERIENCE</w:t>
      </w:r>
    </w:p>
    <w:p w14:paraId="76E0A2B5" w14:textId="77777777" w:rsidR="00BF01C8" w:rsidRDefault="00BF01C8" w:rsidP="00BF01C8">
      <w:pPr>
        <w:pStyle w:val="whitespace-normal"/>
      </w:pPr>
      <w:r>
        <w:rPr>
          <w:rStyle w:val="Strong"/>
          <w:rFonts w:eastAsiaTheme="majorEastAsia"/>
        </w:rPr>
        <w:t>Confidential Therapeutics</w:t>
      </w:r>
      <w:r>
        <w:br/>
      </w:r>
      <w:r>
        <w:rPr>
          <w:rStyle w:val="Emphasis"/>
          <w:rFonts w:eastAsiaTheme="majorEastAsia"/>
        </w:rPr>
        <w:t>Senior Director, Clinical Development</w:t>
      </w:r>
      <w:r>
        <w:t xml:space="preserve"> | June 2021 - Present</w:t>
      </w:r>
      <w:r>
        <w:br/>
        <w:t>San Francisco, CA</w:t>
      </w:r>
    </w:p>
    <w:p w14:paraId="22CEDF6F" w14:textId="77777777" w:rsidR="00BF01C8" w:rsidRDefault="00BF01C8" w:rsidP="00BF01C8">
      <w:pPr>
        <w:pStyle w:val="whitespace-normal"/>
        <w:numPr>
          <w:ilvl w:val="0"/>
          <w:numId w:val="1"/>
        </w:numPr>
      </w:pPr>
      <w:r>
        <w:t>Led Phase 2/3 clinical strategy for KRAS G12C inhibitor program targeting NSCLC, achieving primary endpoint with 42% ORR and advancing to pivotal trial design</w:t>
      </w:r>
    </w:p>
    <w:p w14:paraId="755E6B87" w14:textId="77777777" w:rsidR="00BF01C8" w:rsidRDefault="00BF01C8" w:rsidP="00BF01C8">
      <w:pPr>
        <w:pStyle w:val="whitespace-normal"/>
        <w:numPr>
          <w:ilvl w:val="0"/>
          <w:numId w:val="1"/>
        </w:numPr>
      </w:pPr>
      <w:r>
        <w:t>Managed cross-functional team of 22 professionals across clinical ops, biostatistics, regulatory affairs, and medical affairs spanning 3 countries</w:t>
      </w:r>
    </w:p>
    <w:p w14:paraId="425021D0" w14:textId="77777777" w:rsidR="00BF01C8" w:rsidRDefault="00BF01C8" w:rsidP="00BF01C8">
      <w:pPr>
        <w:pStyle w:val="whitespace-normal"/>
        <w:numPr>
          <w:ilvl w:val="0"/>
          <w:numId w:val="1"/>
        </w:numPr>
      </w:pPr>
      <w:r>
        <w:t>Designed adaptive enrichment strategy reducing patient enrollment by 30% while maintaining statistical power, accelerating timeline by 5 months</w:t>
      </w:r>
    </w:p>
    <w:p w14:paraId="172E0780" w14:textId="77777777" w:rsidR="00BF01C8" w:rsidRDefault="00BF01C8" w:rsidP="00BF01C8">
      <w:pPr>
        <w:pStyle w:val="whitespace-normal"/>
        <w:numPr>
          <w:ilvl w:val="0"/>
          <w:numId w:val="1"/>
        </w:numPr>
      </w:pPr>
      <w:r>
        <w:t>Established KOL advisory board of 12 leading oncologists, directly influencing protocol amendments and FDA breakthrough therapy designation strategy</w:t>
      </w:r>
    </w:p>
    <w:p w14:paraId="5BE2724B" w14:textId="77777777" w:rsidR="00BF01C8" w:rsidRDefault="00BF01C8" w:rsidP="00BF01C8">
      <w:pPr>
        <w:pStyle w:val="whitespace-normal"/>
        <w:numPr>
          <w:ilvl w:val="0"/>
          <w:numId w:val="1"/>
        </w:numPr>
      </w:pPr>
      <w:r>
        <w:t>Oversaw medical monitoring for 180+ patients across 28 sites in US, EU, and APAC with zero major protocol deviations</w:t>
      </w:r>
    </w:p>
    <w:p w14:paraId="19479B50" w14:textId="77777777" w:rsidR="00BF01C8" w:rsidRDefault="00BF01C8" w:rsidP="00BF01C8">
      <w:pPr>
        <w:pStyle w:val="whitespace-normal"/>
        <w:numPr>
          <w:ilvl w:val="0"/>
          <w:numId w:val="1"/>
        </w:numPr>
      </w:pPr>
      <w:r>
        <w:t>Authored IND submission and clinical sections of breakthrough therapy designation package resulting in FDA acceptance within 45 days</w:t>
      </w:r>
    </w:p>
    <w:p w14:paraId="6B1E0D66" w14:textId="77777777" w:rsidR="00BF01C8" w:rsidRDefault="00BF01C8" w:rsidP="00BF01C8">
      <w:pPr>
        <w:pStyle w:val="whitespace-normal"/>
      </w:pPr>
      <w:r>
        <w:rPr>
          <w:rStyle w:val="Emphasis"/>
          <w:rFonts w:eastAsiaTheme="majorEastAsia"/>
        </w:rPr>
        <w:t>Director, Clinical Development</w:t>
      </w:r>
      <w:r>
        <w:t xml:space="preserve"> | March 2018 - May 2021</w:t>
      </w:r>
    </w:p>
    <w:p w14:paraId="7AF4EAE0" w14:textId="77777777" w:rsidR="00BF01C8" w:rsidRDefault="00BF01C8" w:rsidP="00BF01C8">
      <w:pPr>
        <w:pStyle w:val="whitespace-normal"/>
        <w:numPr>
          <w:ilvl w:val="0"/>
          <w:numId w:val="2"/>
        </w:numPr>
      </w:pPr>
      <w:r>
        <w:t xml:space="preserve">Designed and executed Phase 1b/2 basket trial for pan-RAS </w:t>
      </w:r>
      <w:proofErr w:type="gramStart"/>
      <w:r>
        <w:t>inhibitor</w:t>
      </w:r>
      <w:proofErr w:type="gramEnd"/>
      <w:r>
        <w:t xml:space="preserve"> across 4 tumor types, managing budget of $18M</w:t>
      </w:r>
    </w:p>
    <w:p w14:paraId="20E39813" w14:textId="77777777" w:rsidR="00BF01C8" w:rsidRDefault="00BF01C8" w:rsidP="00BF01C8">
      <w:pPr>
        <w:pStyle w:val="whitespace-normal"/>
        <w:numPr>
          <w:ilvl w:val="0"/>
          <w:numId w:val="2"/>
        </w:numPr>
      </w:pPr>
      <w:r>
        <w:t>Led interactions with FDA and EMA on special protocol assessments, achieving alignment on pivotal trial design for colorectal cancer cohort</w:t>
      </w:r>
    </w:p>
    <w:p w14:paraId="564DDEC0" w14:textId="77777777" w:rsidR="00BF01C8" w:rsidRDefault="00BF01C8" w:rsidP="00BF01C8">
      <w:pPr>
        <w:pStyle w:val="whitespace-normal"/>
        <w:numPr>
          <w:ilvl w:val="0"/>
          <w:numId w:val="2"/>
        </w:numPr>
      </w:pPr>
      <w:r>
        <w:t>Built clinical development team from ground up, recruiting 8 clinical scientists and establishing SOPs for early-stage oncology trials</w:t>
      </w:r>
    </w:p>
    <w:p w14:paraId="04676164" w14:textId="77777777" w:rsidR="00BF01C8" w:rsidRDefault="00BF01C8" w:rsidP="00BF01C8">
      <w:pPr>
        <w:pStyle w:val="whitespace-normal"/>
        <w:numPr>
          <w:ilvl w:val="0"/>
          <w:numId w:val="2"/>
        </w:numPr>
      </w:pPr>
      <w:r>
        <w:t xml:space="preserve">Implemented risk-based monitoring </w:t>
      </w:r>
      <w:proofErr w:type="gramStart"/>
      <w:r>
        <w:t>strategy</w:t>
      </w:r>
      <w:proofErr w:type="gramEnd"/>
      <w:r>
        <w:t xml:space="preserve"> reducing on-site visits by 40% while improving data quality metrics</w:t>
      </w:r>
    </w:p>
    <w:p w14:paraId="0D0FF38D" w14:textId="77777777" w:rsidR="00BF01C8" w:rsidRDefault="00BF01C8" w:rsidP="00BF01C8">
      <w:pPr>
        <w:pStyle w:val="whitespace-normal"/>
      </w:pPr>
      <w:r>
        <w:rPr>
          <w:rStyle w:val="Strong"/>
          <w:rFonts w:eastAsiaTheme="majorEastAsia"/>
        </w:rPr>
        <w:t xml:space="preserve">Confidential </w:t>
      </w:r>
      <w:proofErr w:type="spellStart"/>
      <w:r>
        <w:rPr>
          <w:rStyle w:val="Strong"/>
          <w:rFonts w:eastAsiaTheme="majorEastAsia"/>
        </w:rPr>
        <w:t>BioSciences</w:t>
      </w:r>
      <w:proofErr w:type="spellEnd"/>
      <w:r>
        <w:br/>
      </w:r>
      <w:r>
        <w:rPr>
          <w:rStyle w:val="Emphasis"/>
          <w:rFonts w:eastAsiaTheme="majorEastAsia"/>
        </w:rPr>
        <w:t>Associate Director, Clinical Science</w:t>
      </w:r>
      <w:r>
        <w:t xml:space="preserve"> | January 2015 - February 2018</w:t>
      </w:r>
      <w:r>
        <w:br/>
        <w:t>Emeryville, CA</w:t>
      </w:r>
    </w:p>
    <w:p w14:paraId="37FF20DF" w14:textId="77777777" w:rsidR="00BF01C8" w:rsidRDefault="00BF01C8" w:rsidP="00BF01C8">
      <w:pPr>
        <w:pStyle w:val="whitespace-normal"/>
        <w:numPr>
          <w:ilvl w:val="0"/>
          <w:numId w:val="3"/>
        </w:numPr>
      </w:pPr>
      <w:r>
        <w:t>Supported Phase 2 dose-expansion studies for MEK inhibitor in KRAS-mutant pancreatic cancer, contributing to regulatory strategy</w:t>
      </w:r>
    </w:p>
    <w:p w14:paraId="519CCAC6" w14:textId="77777777" w:rsidR="00BF01C8" w:rsidRDefault="00BF01C8" w:rsidP="00BF01C8">
      <w:pPr>
        <w:pStyle w:val="whitespace-normal"/>
        <w:numPr>
          <w:ilvl w:val="0"/>
          <w:numId w:val="3"/>
        </w:numPr>
      </w:pPr>
      <w:r>
        <w:t>Managed medical monitoring activities across 3 concurrent early-stage oncology trials with 120+ patients</w:t>
      </w:r>
    </w:p>
    <w:p w14:paraId="071BFDE0" w14:textId="77777777" w:rsidR="00BF01C8" w:rsidRDefault="00BF01C8" w:rsidP="00BF01C8">
      <w:pPr>
        <w:pStyle w:val="whitespace-normal"/>
        <w:numPr>
          <w:ilvl w:val="0"/>
          <w:numId w:val="3"/>
        </w:numPr>
      </w:pPr>
      <w:r>
        <w:lastRenderedPageBreak/>
        <w:t>Collaborated with translational medicine team on biomarker strategy, establishing ctDNA monitoring protocol adopted across pipeline</w:t>
      </w:r>
    </w:p>
    <w:p w14:paraId="57E73C16" w14:textId="77777777" w:rsidR="00BF01C8" w:rsidRDefault="00BF01C8" w:rsidP="00BF01C8">
      <w:pPr>
        <w:pStyle w:val="whitespace-normal"/>
        <w:numPr>
          <w:ilvl w:val="0"/>
          <w:numId w:val="3"/>
        </w:numPr>
      </w:pPr>
      <w:r>
        <w:t>Represented clinical development in cross-functional program teams, presenting safety and efficacy data to executive leadership</w:t>
      </w:r>
    </w:p>
    <w:p w14:paraId="5CF8FD4B" w14:textId="77777777" w:rsidR="00BF01C8" w:rsidRDefault="00BF01C8" w:rsidP="00BF01C8">
      <w:pPr>
        <w:pStyle w:val="whitespace-normal"/>
      </w:pPr>
      <w:r>
        <w:rPr>
          <w:rStyle w:val="Strong"/>
          <w:rFonts w:eastAsiaTheme="majorEastAsia"/>
        </w:rPr>
        <w:t>Previous Experience:</w:t>
      </w:r>
      <w:r>
        <w:t xml:space="preserve"> Clinical Scientist roles at Confidential Research (2011-2014) and Confidential Oncology Solutions (2009-2011)</w:t>
      </w:r>
    </w:p>
    <w:p w14:paraId="571A1643" w14:textId="77777777" w:rsidR="00BF01C8" w:rsidRDefault="00BF01C8" w:rsidP="00BF01C8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EDUCATION</w:t>
      </w:r>
    </w:p>
    <w:p w14:paraId="1ED4F763" w14:textId="77777777" w:rsidR="00BF01C8" w:rsidRDefault="00BF01C8" w:rsidP="00BF01C8">
      <w:pPr>
        <w:pStyle w:val="whitespace-normal"/>
      </w:pPr>
      <w:r>
        <w:t>Major California University | 2009</w:t>
      </w:r>
      <w:r>
        <w:br/>
        <w:t>PharmD in Clinical Pharmacy</w:t>
      </w:r>
    </w:p>
    <w:p w14:paraId="6B234BC8" w14:textId="77777777" w:rsidR="00BF01C8" w:rsidRDefault="00BF01C8" w:rsidP="00BF01C8">
      <w:pPr>
        <w:pStyle w:val="whitespace-normal"/>
      </w:pPr>
      <w:r>
        <w:t>Major California University | 2005</w:t>
      </w:r>
      <w:r>
        <w:br/>
        <w:t>BS in Molecular Biology, Cum Laude</w:t>
      </w:r>
      <w:r>
        <w:br/>
        <w:t>Varsity Swimming Team</w:t>
      </w:r>
    </w:p>
    <w:p w14:paraId="441F280C" w14:textId="77777777" w:rsidR="00BF01C8" w:rsidRDefault="00BF01C8" w:rsidP="00BF01C8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CERTIFICATIONS &amp; TRAINING</w:t>
      </w:r>
    </w:p>
    <w:p w14:paraId="7A503FE1" w14:textId="77777777" w:rsidR="00BF01C8" w:rsidRDefault="00BF01C8" w:rsidP="00BF01C8">
      <w:pPr>
        <w:pStyle w:val="whitespace-normal"/>
        <w:numPr>
          <w:ilvl w:val="0"/>
          <w:numId w:val="4"/>
        </w:numPr>
      </w:pPr>
      <w:r>
        <w:t>RAC (Regulatory Affairs Certification), 2017</w:t>
      </w:r>
    </w:p>
    <w:p w14:paraId="73AF8DAD" w14:textId="77777777" w:rsidR="00BF01C8" w:rsidRDefault="00BF01C8" w:rsidP="00BF01C8">
      <w:pPr>
        <w:pStyle w:val="whitespace-normal"/>
        <w:numPr>
          <w:ilvl w:val="0"/>
          <w:numId w:val="4"/>
        </w:numPr>
      </w:pPr>
      <w:r>
        <w:t>Advanced Clinical Trial Design, DIA, 2019</w:t>
      </w:r>
    </w:p>
    <w:p w14:paraId="30DB1844" w14:textId="77777777" w:rsidR="00BF01C8" w:rsidRDefault="00BF01C8" w:rsidP="00BF01C8">
      <w:pPr>
        <w:pStyle w:val="whitespace-normal"/>
        <w:numPr>
          <w:ilvl w:val="0"/>
          <w:numId w:val="4"/>
        </w:numPr>
      </w:pPr>
      <w:r>
        <w:t>GCP Certification (current)</w:t>
      </w:r>
    </w:p>
    <w:p w14:paraId="74C0D892" w14:textId="77777777" w:rsidR="00F90CB3" w:rsidRDefault="00F90CB3"/>
    <w:sectPr w:rsidR="00F90CB3" w:rsidSect="00BF01C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30AC5"/>
    <w:multiLevelType w:val="multilevel"/>
    <w:tmpl w:val="A09C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A86154"/>
    <w:multiLevelType w:val="multilevel"/>
    <w:tmpl w:val="2926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0F7177"/>
    <w:multiLevelType w:val="multilevel"/>
    <w:tmpl w:val="7B48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3928F4"/>
    <w:multiLevelType w:val="multilevel"/>
    <w:tmpl w:val="92AC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587765">
    <w:abstractNumId w:val="0"/>
  </w:num>
  <w:num w:numId="2" w16cid:durableId="396124995">
    <w:abstractNumId w:val="3"/>
  </w:num>
  <w:num w:numId="3" w16cid:durableId="1167673130">
    <w:abstractNumId w:val="1"/>
  </w:num>
  <w:num w:numId="4" w16cid:durableId="1936280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1C8"/>
    <w:rsid w:val="005F35AC"/>
    <w:rsid w:val="00801453"/>
    <w:rsid w:val="00BF01C8"/>
    <w:rsid w:val="00F9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3E8C0"/>
  <w15:chartTrackingRefBased/>
  <w15:docId w15:val="{26D39174-69CD-46D0-B248-66EF9F005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1C8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BF0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F01C8"/>
    <w:rPr>
      <w:b/>
      <w:bCs/>
    </w:rPr>
  </w:style>
  <w:style w:type="character" w:styleId="Emphasis">
    <w:name w:val="Emphasis"/>
    <w:basedOn w:val="DefaultParagraphFont"/>
    <w:uiPriority w:val="20"/>
    <w:qFormat/>
    <w:rsid w:val="00BF01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65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2025-10-28T21:16:00Z</dcterms:created>
  <dcterms:modified xsi:type="dcterms:W3CDTF">2025-10-28T21:18:00Z</dcterms:modified>
</cp:coreProperties>
</file>