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E329" w14:textId="0BBA5C09" w:rsidR="00B50147" w:rsidRDefault="00B50147" w:rsidP="00B50147">
      <w:pPr>
        <w:pStyle w:val="whitespace-normal"/>
        <w:jc w:val="center"/>
      </w:pPr>
      <w:r w:rsidRPr="00B50147">
        <w:rPr>
          <w:rStyle w:val="Strong"/>
          <w:rFonts w:eastAsiaTheme="majorEastAsia"/>
          <w:sz w:val="32"/>
          <w:szCs w:val="32"/>
        </w:rPr>
        <w:t>CONFIDENTIAL CANDIDATE</w:t>
      </w:r>
      <w:r>
        <w:rPr>
          <w:rStyle w:val="Strong"/>
          <w:rFonts w:eastAsiaTheme="majorEastAsia"/>
          <w:sz w:val="32"/>
          <w:szCs w:val="32"/>
        </w:rPr>
        <w:t xml:space="preserve"> MD</w:t>
      </w:r>
      <w:r>
        <w:br/>
        <w:t xml:space="preserve">Bay Area, CA </w:t>
      </w:r>
    </w:p>
    <w:p w14:paraId="22445C30" w14:textId="77777777" w:rsidR="00B50147" w:rsidRDefault="00B50147" w:rsidP="00B50147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SUMMARY</w:t>
      </w:r>
    </w:p>
    <w:p w14:paraId="33915692" w14:textId="77777777" w:rsidR="00B50147" w:rsidRDefault="00B50147" w:rsidP="00B50147">
      <w:pPr>
        <w:pStyle w:val="whitespace-normal"/>
      </w:pPr>
      <w:r>
        <w:t>Accomplished clinical development executive with 15+ years leading late-stage oncology programs through global regulatory submissions and approvals. Specialized in RAS-addicted cancers with deep therapeutic area expertise spanning solid tumors and precision medicine. Proven track record building and leading high-performing international teams through complex NDA/BLA submissions. Known for strategic vision, calm leadership during critical milestones, and ability to align cross-functional stakeholders toward common goals. Seeking senior leadership role advancing transformative oncology therapeutics in innovative biotech environment. Compensation target: $275K base.</w:t>
      </w:r>
    </w:p>
    <w:p w14:paraId="69B2F8EA" w14:textId="77777777" w:rsidR="00B50147" w:rsidRDefault="00B50147" w:rsidP="00B50147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EXPERIENCE</w:t>
      </w:r>
    </w:p>
    <w:p w14:paraId="12041159" w14:textId="77777777" w:rsidR="00B50147" w:rsidRDefault="00B50147" w:rsidP="00B50147">
      <w:pPr>
        <w:pStyle w:val="whitespace-normal"/>
      </w:pPr>
      <w:r>
        <w:rPr>
          <w:rStyle w:val="Strong"/>
          <w:rFonts w:eastAsiaTheme="majorEastAsia"/>
        </w:rPr>
        <w:t>Confidential Oncology</w:t>
      </w:r>
      <w:r>
        <w:br/>
      </w:r>
      <w:r>
        <w:rPr>
          <w:rStyle w:val="Emphasis"/>
          <w:rFonts w:eastAsiaTheme="majorEastAsia"/>
        </w:rPr>
        <w:t>Senior Director, Clinical Development</w:t>
      </w:r>
      <w:r>
        <w:t xml:space="preserve"> | August 2019 - Present</w:t>
      </w:r>
      <w:r>
        <w:br/>
        <w:t>Palo Alto, CA</w:t>
      </w:r>
    </w:p>
    <w:p w14:paraId="411A4784" w14:textId="77777777" w:rsidR="00B50147" w:rsidRDefault="00B50147" w:rsidP="00B50147">
      <w:pPr>
        <w:pStyle w:val="whitespace-normal"/>
        <w:numPr>
          <w:ilvl w:val="0"/>
          <w:numId w:val="1"/>
        </w:numPr>
      </w:pPr>
      <w:r>
        <w:t>Led global clinical development strategy for KRASG12D inhibitor program from Phase 1 through NDA submission, achieving FDA priority review designation</w:t>
      </w:r>
    </w:p>
    <w:p w14:paraId="28367808" w14:textId="77777777" w:rsidR="00B50147" w:rsidRDefault="00B50147" w:rsidP="00B50147">
      <w:pPr>
        <w:pStyle w:val="whitespace-normal"/>
        <w:numPr>
          <w:ilvl w:val="0"/>
          <w:numId w:val="1"/>
        </w:numPr>
      </w:pPr>
      <w:r>
        <w:t>Directed team of 25+ clinical operations, biostatistics, and regulatory professionals across US, EU, and Asia-Pacific</w:t>
      </w:r>
    </w:p>
    <w:p w14:paraId="4CA7A605" w14:textId="77777777" w:rsidR="00B50147" w:rsidRDefault="00B50147" w:rsidP="00B50147">
      <w:pPr>
        <w:pStyle w:val="whitespace-normal"/>
        <w:numPr>
          <w:ilvl w:val="0"/>
          <w:numId w:val="1"/>
        </w:numPr>
      </w:pPr>
      <w:r>
        <w:t>Orchestrated successful NDA submission with FDA resulting in approval 3 months ahead of projected timeline, bringing first-in-class therapy to 8,500+ patients annually</w:t>
      </w:r>
    </w:p>
    <w:p w14:paraId="5698E2DC" w14:textId="77777777" w:rsidR="00B50147" w:rsidRDefault="00B50147" w:rsidP="00B50147">
      <w:pPr>
        <w:pStyle w:val="whitespace-normal"/>
        <w:numPr>
          <w:ilvl w:val="0"/>
          <w:numId w:val="1"/>
        </w:numPr>
      </w:pPr>
      <w:r>
        <w:t>Designed registrational Phase 3 trial comparing novel agent vs. standard of care in pancreatic adenocarcinoma, achieving 4.2-month median OS improvement (p&lt;0.001)</w:t>
      </w:r>
    </w:p>
    <w:p w14:paraId="4243F1FB" w14:textId="77777777" w:rsidR="00B50147" w:rsidRDefault="00B50147" w:rsidP="00B50147">
      <w:pPr>
        <w:pStyle w:val="whitespace-normal"/>
        <w:numPr>
          <w:ilvl w:val="0"/>
          <w:numId w:val="1"/>
        </w:numPr>
      </w:pPr>
      <w:r>
        <w:t>Built strategic relationships with 15+ key opinion leaders in GI oncology, establishing external advisory board guiding clinical and commercial strategy</w:t>
      </w:r>
    </w:p>
    <w:p w14:paraId="43A6FEC7" w14:textId="77777777" w:rsidR="00B50147" w:rsidRDefault="00B50147" w:rsidP="00B50147">
      <w:pPr>
        <w:pStyle w:val="whitespace-normal"/>
        <w:numPr>
          <w:ilvl w:val="0"/>
          <w:numId w:val="1"/>
        </w:numPr>
      </w:pPr>
      <w:r>
        <w:t>Managed clinical development budget of $85M across 4 concurrent trials, delivering programs within 2% of budget while maintaining quality standards</w:t>
      </w:r>
    </w:p>
    <w:p w14:paraId="7888F4E7" w14:textId="77777777" w:rsidR="00B50147" w:rsidRDefault="00B50147" w:rsidP="00B50147">
      <w:pPr>
        <w:pStyle w:val="whitespace-normal"/>
        <w:numPr>
          <w:ilvl w:val="0"/>
          <w:numId w:val="1"/>
        </w:numPr>
      </w:pPr>
      <w:r>
        <w:t>Led regulatory interactions with FDA (6 Type B meetings), EMA (4 scientific advice procedures), and PMDA achieving alignment on pivotal endpoints</w:t>
      </w:r>
    </w:p>
    <w:p w14:paraId="39282F3D" w14:textId="77777777" w:rsidR="00B50147" w:rsidRDefault="00B50147" w:rsidP="00B50147">
      <w:pPr>
        <w:pStyle w:val="whitespace-normal"/>
      </w:pPr>
      <w:r>
        <w:rPr>
          <w:rStyle w:val="Emphasis"/>
          <w:rFonts w:eastAsiaTheme="majorEastAsia"/>
        </w:rPr>
        <w:t>Director, Late-Stage Development</w:t>
      </w:r>
      <w:r>
        <w:t xml:space="preserve"> | February 2016 - July 2019</w:t>
      </w:r>
    </w:p>
    <w:p w14:paraId="55A91199" w14:textId="77777777" w:rsidR="00B50147" w:rsidRDefault="00B50147" w:rsidP="00B50147">
      <w:pPr>
        <w:pStyle w:val="whitespace-normal"/>
        <w:numPr>
          <w:ilvl w:val="0"/>
          <w:numId w:val="2"/>
        </w:numPr>
      </w:pPr>
      <w:r>
        <w:t>Supported Phase 2b program for SHP2 inhibitor in KRAS-mutant NSCLC, designing biomarker-selected enrichment strategy</w:t>
      </w:r>
    </w:p>
    <w:p w14:paraId="5214FDA3" w14:textId="77777777" w:rsidR="00B50147" w:rsidRDefault="00B50147" w:rsidP="00B50147">
      <w:pPr>
        <w:pStyle w:val="whitespace-normal"/>
        <w:numPr>
          <w:ilvl w:val="0"/>
          <w:numId w:val="2"/>
        </w:numPr>
      </w:pPr>
      <w:r>
        <w:t>Managed safety oversight for 200+ patients across global Phase 2 expansion cohorts in 5 tumor types</w:t>
      </w:r>
    </w:p>
    <w:p w14:paraId="0A533501" w14:textId="77777777" w:rsidR="00B50147" w:rsidRDefault="00B50147" w:rsidP="00B50147">
      <w:pPr>
        <w:pStyle w:val="whitespace-normal"/>
        <w:numPr>
          <w:ilvl w:val="0"/>
          <w:numId w:val="2"/>
        </w:numPr>
      </w:pPr>
      <w:r>
        <w:t>Collaborated with CMC and nonclinical teams on investigator brochure updates supporting IND amendments for combination strategies</w:t>
      </w:r>
    </w:p>
    <w:p w14:paraId="35251239" w14:textId="77777777" w:rsidR="00B50147" w:rsidRDefault="00B50147" w:rsidP="00B50147">
      <w:pPr>
        <w:pStyle w:val="whitespace-normal"/>
        <w:numPr>
          <w:ilvl w:val="0"/>
          <w:numId w:val="2"/>
        </w:numPr>
      </w:pPr>
      <w:r>
        <w:t>Established clinical trial transparency policy, authoring 8 peer-reviewed publications in high-impact journals</w:t>
      </w:r>
    </w:p>
    <w:p w14:paraId="6A38EAA6" w14:textId="77777777" w:rsidR="00B50147" w:rsidRDefault="00B50147" w:rsidP="00B50147">
      <w:pPr>
        <w:pStyle w:val="whitespace-normal"/>
      </w:pPr>
      <w:r>
        <w:rPr>
          <w:rStyle w:val="Strong"/>
          <w:rFonts w:eastAsiaTheme="majorEastAsia"/>
        </w:rPr>
        <w:t>Confidential Therapeutics Inc.</w:t>
      </w:r>
      <w:r>
        <w:br/>
      </w:r>
      <w:r>
        <w:rPr>
          <w:rStyle w:val="Emphasis"/>
          <w:rFonts w:eastAsiaTheme="majorEastAsia"/>
        </w:rPr>
        <w:t>Associate Director, Clinical Science</w:t>
      </w:r>
      <w:r>
        <w:t xml:space="preserve"> | May 2012 - January 2016</w:t>
      </w:r>
      <w:r>
        <w:br/>
        <w:t>South San Francisco, CA</w:t>
      </w:r>
    </w:p>
    <w:p w14:paraId="248EC942" w14:textId="77777777" w:rsidR="00B50147" w:rsidRDefault="00B50147" w:rsidP="00B50147">
      <w:pPr>
        <w:pStyle w:val="whitespace-normal"/>
        <w:numPr>
          <w:ilvl w:val="0"/>
          <w:numId w:val="3"/>
        </w:numPr>
      </w:pPr>
      <w:r>
        <w:t>Led clinical operations for Phase 1/2 studies of MEK/ERK pathway inhibitors in melanoma and colorectal cancer</w:t>
      </w:r>
    </w:p>
    <w:p w14:paraId="14CBB27C" w14:textId="77777777" w:rsidR="00B50147" w:rsidRDefault="00B50147" w:rsidP="00B50147">
      <w:pPr>
        <w:pStyle w:val="whitespace-normal"/>
        <w:numPr>
          <w:ilvl w:val="0"/>
          <w:numId w:val="3"/>
        </w:numPr>
      </w:pPr>
      <w:r>
        <w:lastRenderedPageBreak/>
        <w:t>Designed protocols and contributed to regulatory submissions supporting 3 IND applications across solid tumor portfolio</w:t>
      </w:r>
    </w:p>
    <w:p w14:paraId="658AF9CA" w14:textId="77777777" w:rsidR="00B50147" w:rsidRDefault="00B50147" w:rsidP="00B50147">
      <w:pPr>
        <w:pStyle w:val="whitespace-normal"/>
        <w:numPr>
          <w:ilvl w:val="0"/>
          <w:numId w:val="3"/>
        </w:numPr>
      </w:pPr>
      <w:r>
        <w:t>Managed relationships with 35+ clinical trial sites, conducting investigator meetings and ensuring GCP compliance</w:t>
      </w:r>
    </w:p>
    <w:p w14:paraId="1F9DA3CF" w14:textId="77777777" w:rsidR="00B50147" w:rsidRDefault="00B50147" w:rsidP="00B50147">
      <w:pPr>
        <w:pStyle w:val="whitespace-normal"/>
        <w:numPr>
          <w:ilvl w:val="0"/>
          <w:numId w:val="3"/>
        </w:numPr>
      </w:pPr>
      <w:r>
        <w:t>Represented clinical development in alliance management with pharma partner, contributing to $40M milestone achievement</w:t>
      </w:r>
    </w:p>
    <w:p w14:paraId="7DA2057A" w14:textId="77777777" w:rsidR="00B50147" w:rsidRDefault="00B50147" w:rsidP="00B50147">
      <w:pPr>
        <w:pStyle w:val="whitespace-normal"/>
      </w:pPr>
      <w:r>
        <w:rPr>
          <w:rStyle w:val="Strong"/>
          <w:rFonts w:eastAsiaTheme="majorEastAsia"/>
        </w:rPr>
        <w:t>Previous Experience:</w:t>
      </w:r>
      <w:r>
        <w:t xml:space="preserve"> Medical Director, Confidential CRO Services (2010-2012); Clinical Research Fellow, Major University Comprehensive Cancer Center (2008-2010)</w:t>
      </w:r>
    </w:p>
    <w:p w14:paraId="4BB90BE3" w14:textId="77777777" w:rsidR="00B50147" w:rsidRDefault="00B50147" w:rsidP="00B50147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EDUCATION</w:t>
      </w:r>
    </w:p>
    <w:p w14:paraId="1509D2F7" w14:textId="77777777" w:rsidR="00B50147" w:rsidRDefault="00B50147" w:rsidP="00B50147">
      <w:pPr>
        <w:pStyle w:val="whitespace-normal"/>
      </w:pPr>
      <w:r>
        <w:t>Major East Coast Medical School | 2008</w:t>
      </w:r>
      <w:r>
        <w:br/>
        <w:t>MD</w:t>
      </w:r>
    </w:p>
    <w:p w14:paraId="34EF1CDB" w14:textId="77777777" w:rsidR="00B50147" w:rsidRDefault="00B50147" w:rsidP="00B50147">
      <w:pPr>
        <w:pStyle w:val="whitespace-normal"/>
      </w:pPr>
      <w:r>
        <w:t>Major California University | 2004</w:t>
      </w:r>
      <w:r>
        <w:br/>
        <w:t>BS in Biochemistry &amp; Molecular Biology, Summa Cum Laude</w:t>
      </w:r>
    </w:p>
    <w:p w14:paraId="5432D034" w14:textId="77777777" w:rsidR="00B50147" w:rsidRDefault="00B50147" w:rsidP="00B50147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BOARD CERTIFICATION &amp; PROFESSIONAL ACTIVITIES</w:t>
      </w:r>
    </w:p>
    <w:p w14:paraId="3C6A4224" w14:textId="77777777" w:rsidR="00B50147" w:rsidRDefault="00B50147" w:rsidP="00B50147">
      <w:pPr>
        <w:pStyle w:val="whitespace-normal"/>
        <w:numPr>
          <w:ilvl w:val="0"/>
          <w:numId w:val="4"/>
        </w:numPr>
      </w:pPr>
      <w:r>
        <w:t>Board Certified in Internal Medicine</w:t>
      </w:r>
    </w:p>
    <w:p w14:paraId="53784475" w14:textId="77777777" w:rsidR="00B50147" w:rsidRDefault="00B50147" w:rsidP="00B50147">
      <w:pPr>
        <w:pStyle w:val="whitespace-normal"/>
        <w:numPr>
          <w:ilvl w:val="0"/>
          <w:numId w:val="4"/>
        </w:numPr>
      </w:pPr>
      <w:r>
        <w:t>Active member: American Society of Clinical Oncology (ASCO), Drug Information Association (DIA)</w:t>
      </w:r>
    </w:p>
    <w:p w14:paraId="47E70D20" w14:textId="77777777" w:rsidR="00B50147" w:rsidRDefault="00B50147" w:rsidP="00B50147">
      <w:pPr>
        <w:pStyle w:val="whitespace-normal"/>
        <w:numPr>
          <w:ilvl w:val="0"/>
          <w:numId w:val="4"/>
        </w:numPr>
      </w:pPr>
      <w:r>
        <w:t>Peer reviewer: Journal of Clinical Oncology, Cancer Research</w:t>
      </w:r>
    </w:p>
    <w:p w14:paraId="147722B8" w14:textId="77777777" w:rsidR="00F90CB3" w:rsidRDefault="00F90CB3"/>
    <w:sectPr w:rsidR="00F90CB3" w:rsidSect="00B501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0241"/>
    <w:multiLevelType w:val="multilevel"/>
    <w:tmpl w:val="503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C7E37"/>
    <w:multiLevelType w:val="multilevel"/>
    <w:tmpl w:val="B694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171EA"/>
    <w:multiLevelType w:val="multilevel"/>
    <w:tmpl w:val="5F6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43AE9"/>
    <w:multiLevelType w:val="multilevel"/>
    <w:tmpl w:val="700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205852">
    <w:abstractNumId w:val="2"/>
  </w:num>
  <w:num w:numId="2" w16cid:durableId="1664822294">
    <w:abstractNumId w:val="1"/>
  </w:num>
  <w:num w:numId="3" w16cid:durableId="450242782">
    <w:abstractNumId w:val="3"/>
  </w:num>
  <w:num w:numId="4" w16cid:durableId="158584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47"/>
    <w:rsid w:val="00801453"/>
    <w:rsid w:val="00B50147"/>
    <w:rsid w:val="00C65701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AAD7"/>
  <w15:chartTrackingRefBased/>
  <w15:docId w15:val="{C3096F88-E8C1-4BFA-ABD9-C7CFEB7E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147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B50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0147"/>
    <w:rPr>
      <w:b/>
      <w:bCs/>
    </w:rPr>
  </w:style>
  <w:style w:type="character" w:styleId="Emphasis">
    <w:name w:val="Emphasis"/>
    <w:basedOn w:val="DefaultParagraphFont"/>
    <w:uiPriority w:val="20"/>
    <w:qFormat/>
    <w:rsid w:val="00B501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2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2025-10-28T21:20:00Z</dcterms:created>
  <dcterms:modified xsi:type="dcterms:W3CDTF">2025-10-28T21:23:00Z</dcterms:modified>
</cp:coreProperties>
</file>