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CONFIDENTIAL CANDIDATE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San Mateo, CA  |  Open to Hybrid – Commutable to Redwood City  |  Target: $290,000</w:t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Senior Director-level CDM and data governance leader with 20+ years of experience spanning large pharma and clinical-stage oncology biotechs. Expert in scaling global data management functions, implementing digital transformation initiatives (AI/ML-enabled data quality tools, RBQM platforms), and driving regulatory submission readiness across FDA and EMA oncology programs. Recognized for building and developing high-performing CDM organizations, optimizing CRO partnership models, and leading teams through complex inspections with consistently clean outcomes. Calm under pressure, strategic in approach, and deeply invested in team development.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CORE COMPETENCIES</w:t>
      </w:r>
    </w:p>
    <w:p>
      <w:pPr>
        <w:spacing w:after="20" w:before="40"/>
      </w:pPr>
      <w:r>
        <w:rPr>
          <w:rFonts w:ascii="Calibri" w:cs="Calibri" w:eastAsia="Calibri" w:hAnsi="Calibri"/>
          <w:sz w:val="20"/>
          <w:szCs w:val="20"/>
        </w:rPr>
        <w:t xml:space="preserve">Global CDM Strategy &amp; Department Leadership  |  Digital Transformation (AI/ML, RBQM, Decentralized Trials)  |  CDISC SDTM/ADaM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FDA &amp; EMA Submissions (NDA/BLA/MAA)  |  CRO Oversight &amp; Vendor Governance  |  GCP/ICH E6(R2) Compliance</w:t>
      </w:r>
    </w:p>
    <w:p>
      <w:pPr>
        <w:spacing w:after="40" w:before="20"/>
      </w:pPr>
      <w:r>
        <w:rPr>
          <w:rFonts w:ascii="Calibri" w:cs="Calibri" w:eastAsia="Calibri" w:hAnsi="Calibri"/>
          <w:sz w:val="20"/>
          <w:szCs w:val="20"/>
        </w:rPr>
        <w:t xml:space="preserve">Real-World Data (RWD) Integration  |  KPI &amp; Data Quality Program Design  |  Budget Forecasting ($20M+)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Pharma – Foster City,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Director, Clinical Data Management – Oncology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2016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global CDM organization of 35+ FTEs and 4 CRO partner relationships supporting 14 active oncology trials across Phase I–IV.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Directed data management strategy and execution for 5 regulatory submissions (3 FDA NDA/BLA, 2 EMA MAA); all accepted without major data deficiency findings.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Spearheaded enterprise-wide digital transformation: implemented AI-assisted data review platform reducing query cycle time by 40% and RBQM tools cutting monitoring costs by $2.8M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and executed CDM integration of first decentralized trial (DCT) protocol in oncology portfolio; established CDM best practices adopted across the enterprise.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$22M+ annual CDM budget; delivered 3 consecutive years under budget while expanding team capabilities.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Established cross-functional data governance committee with Clinical Operations, Biostatistics, and Regulatory Affairs; standardized data review SOP library across 4 therapeutic areas.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Mentored 6 direct reports to promotion (2 to Director, 4 to Associate Director) over 8-year tenure.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Biosciences – South San Francisco,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Director, Clinical Data Management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2011 – 2016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CDM function from the ground up at a Series C oncology biotech; hired first 12 CDM team members and established full SOP library.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Oversaw EDC platform selection and full Medidata Rave implementation across 5 Phase II oncology studies.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CDM activities for two pivotal trials supporting FDA BLA submission; served as primary CDM contact for pre-approval inspection.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Implemented CDISC SDTM/ADaM framework across all programs; reduced submission package preparation timeline by 6 weeks.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2 CRO partnerships; introduced performance-based milestone structure improving on-time data lock rate from 71% to 94%.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Pharma – San Francisco,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Director, Clinical Data Management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2007 – 2011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CDM team of 8 supporting global Phase II–III oncology and hematology trials across US, EU, and Japan.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medical coding governance framework (MedDRA, WHO Drug) that became departmental standard across 3 business units.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Partnered with IT to pilot first electronic patient-reported outcome (ePRO) integration with EDC platform in oncology setting.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CRO – Oakland,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Clinical Data Manager / Senior Clinical Data Manager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2003 – 2007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full CDM lifecycle for 6 sponsor studies across oncology and rare disease therapeutic areas.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Promoted from CDM to Senior CDM in 18 months; led UAT and database lock for first CDISC SDTM pilot project.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EDUCATION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Southern California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M.S., Health Informatics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2003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B.S., Molecular &amp; Cell Biology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2001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CERTIFICATIONS &amp; PROFESSIONAL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Certified Clinical Data Manager (CCDM) – SCDM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CDISC Certified Expert – SDTM, ADaM, and CDASH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Certified in Real-World Evidence Data Management – ISPOR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Member, Society for Clinical Data Management (SCDM); Drug Information Association (DIA)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Panel Speaker, DIA Annual Meeting (2023): "AI-Driven Data Quality: Practical Applications in Oncology CDM"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Co-author: "Implementing RBQM in Phase III Oncology Trials: Lessons Learned" – Journal of Clinical Data Management, 2022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2026-03-09T16:08:14.386Z</dcterms:created>
  <dcterms:modified xsi:type="dcterms:W3CDTF">2026-03-09T16:08:14.386Z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