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CCF5" w14:textId="77777777" w:rsidR="00CF5B60" w:rsidRDefault="00166D11">
      <w:r>
        <w:rPr>
          <w:b/>
          <w:sz w:val="32"/>
        </w:rPr>
        <w:t>CONFIDENTIAL CANDIDATE A</w:t>
      </w:r>
    </w:p>
    <w:p w14:paraId="5A0B80DC" w14:textId="77777777" w:rsidR="00CF5B60" w:rsidRDefault="00166D11">
      <w:r>
        <w:t>San Francisco Bay Area, CA</w:t>
      </w:r>
    </w:p>
    <w:p w14:paraId="065B580F" w14:textId="77777777" w:rsidR="00CF5B60" w:rsidRDefault="00166D11">
      <w:r>
        <w:rPr>
          <w:b/>
          <w:sz w:val="24"/>
        </w:rPr>
        <w:t>VICE PRESIDENT, CLINICAL DEVELOPMENT | HEMATOLOGY/ONCOLOGY (M.D.)</w:t>
      </w:r>
    </w:p>
    <w:p w14:paraId="794DECA5" w14:textId="77777777" w:rsidR="00CF5B60" w:rsidRDefault="00166D11">
      <w:r>
        <w:rPr>
          <w:b/>
          <w:sz w:val="22"/>
        </w:rPr>
        <w:t>PROFESSIONAL SUMMARY</w:t>
      </w:r>
    </w:p>
    <w:p w14:paraId="3D7C74CC" w14:textId="77777777" w:rsidR="00CF5B60" w:rsidRDefault="00166D11">
      <w:pPr>
        <w:pStyle w:val="ListBullet"/>
      </w:pPr>
      <w:r>
        <w:t xml:space="preserve">Physician–executive with 12+ years in biopharma leading Phase 2–4 hematology/oncology programs to </w:t>
      </w:r>
      <w:r>
        <w:t>registration under FDA/EMA frameworks.</w:t>
      </w:r>
    </w:p>
    <w:p w14:paraId="6A997D84" w14:textId="77777777" w:rsidR="00CF5B60" w:rsidRDefault="00166D11">
      <w:pPr>
        <w:pStyle w:val="ListBullet"/>
      </w:pPr>
      <w:r>
        <w:t>Builds integrated clinical development plans (CDPs), authors protocols/CSRs/briefing books, and serves as company face with health authorities.</w:t>
      </w:r>
    </w:p>
    <w:p w14:paraId="1D710EC4" w14:textId="77777777" w:rsidR="00CF5B60" w:rsidRDefault="00166D11">
      <w:pPr>
        <w:pStyle w:val="ListBullet"/>
      </w:pPr>
      <w:r>
        <w:t>Deep KOL (key opinion leader) and investigator relationships; chairs investigators’ meetings; strong collaboration with Biometrics, Regulatory, and Clinical Operations/CROs (contract research organizations).</w:t>
      </w:r>
    </w:p>
    <w:p w14:paraId="15503891" w14:textId="77777777" w:rsidR="00CF5B60" w:rsidRDefault="00166D11">
      <w:pPr>
        <w:pStyle w:val="ListBullet"/>
      </w:pPr>
      <w:r>
        <w:t>Culture carrier and hands-on medical monitor focused on patient safety, data integrity, and on-time decision-making.</w:t>
      </w:r>
    </w:p>
    <w:p w14:paraId="4196D177" w14:textId="77777777" w:rsidR="00CF5B60" w:rsidRDefault="00166D11">
      <w:r>
        <w:rPr>
          <w:b/>
          <w:sz w:val="22"/>
        </w:rPr>
        <w:t>CORE COMPETENCIES</w:t>
      </w:r>
    </w:p>
    <w:p w14:paraId="51EEA450" w14:textId="77777777" w:rsidR="00CF5B60" w:rsidRDefault="00166D11">
      <w:pPr>
        <w:pStyle w:val="ListBullet"/>
      </w:pPr>
      <w:r>
        <w:t>Clinical Development Strategy (Phase 1–4)</w:t>
      </w:r>
    </w:p>
    <w:p w14:paraId="4B2261FC" w14:textId="77777777" w:rsidR="00CF5B60" w:rsidRDefault="00166D11">
      <w:pPr>
        <w:pStyle w:val="ListBullet"/>
      </w:pPr>
      <w:r>
        <w:t>Medical Monitoring &amp; Safety Governance</w:t>
      </w:r>
    </w:p>
    <w:p w14:paraId="0115E0FC" w14:textId="77777777" w:rsidR="00CF5B60" w:rsidRDefault="00166D11">
      <w:pPr>
        <w:pStyle w:val="ListBullet"/>
      </w:pPr>
      <w:r>
        <w:t>Trial Design &amp; Biostatistics Fluency</w:t>
      </w:r>
    </w:p>
    <w:p w14:paraId="3F64CE42" w14:textId="77777777" w:rsidR="00CF5B60" w:rsidRDefault="00166D11">
      <w:pPr>
        <w:pStyle w:val="ListBullet"/>
      </w:pPr>
      <w:r>
        <w:t>Regulatory Submissions (INDs, briefing books, NDAs/MAAs)</w:t>
      </w:r>
    </w:p>
    <w:p w14:paraId="194981FD" w14:textId="77777777" w:rsidR="00CF5B60" w:rsidRDefault="00166D11">
      <w:pPr>
        <w:pStyle w:val="ListBullet"/>
      </w:pPr>
      <w:r>
        <w:t>KOL/Investigator Engagement &amp; Advisory Boards</w:t>
      </w:r>
    </w:p>
    <w:p w14:paraId="340C74D8" w14:textId="77777777" w:rsidR="00CF5B60" w:rsidRDefault="00166D11">
      <w:pPr>
        <w:pStyle w:val="ListBullet"/>
      </w:pPr>
      <w:r>
        <w:t>Cross‑functional Leadership (Biometrics, Regulatory, Med Affairs, ClinOps)</w:t>
      </w:r>
    </w:p>
    <w:p w14:paraId="5CEB4335" w14:textId="77777777" w:rsidR="00CF5B60" w:rsidRDefault="00166D11">
      <w:r>
        <w:rPr>
          <w:b/>
          <w:sz w:val="22"/>
        </w:rPr>
        <w:t>EXPERIENCE</w:t>
      </w:r>
    </w:p>
    <w:p w14:paraId="487E1FB2" w14:textId="77777777" w:rsidR="00CF5B60" w:rsidRDefault="00166D11">
      <w:pPr>
        <w:tabs>
          <w:tab w:val="right" w:pos="9360"/>
        </w:tabs>
      </w:pPr>
      <w:r>
        <w:rPr>
          <w:b/>
        </w:rPr>
        <w:t>CONFIDENTIAL | Mid‑cap Oncology Biotech — South San Francisco, CA  |  Senior/VP, Clinical Development (CMO Staff)</w:t>
      </w:r>
      <w:r>
        <w:tab/>
      </w:r>
      <w:r>
        <w:t>2019–Present</w:t>
      </w:r>
    </w:p>
    <w:p w14:paraId="2992C888" w14:textId="77777777" w:rsidR="00CF5B60" w:rsidRDefault="00166D11">
      <w:pPr>
        <w:pStyle w:val="ListBullet"/>
      </w:pPr>
      <w:r>
        <w:t>Own integrated CDPs across two hematology programs; align with CMO on evidentiary standards for registration and commercialization.</w:t>
      </w:r>
    </w:p>
    <w:p w14:paraId="7F23CD36" w14:textId="77777777" w:rsidR="00CF5B60" w:rsidRDefault="00166D11">
      <w:pPr>
        <w:pStyle w:val="ListBullet"/>
      </w:pPr>
      <w:r>
        <w:t>Serve as medical monitor; lead DSMB interactions and safety signal reviews with Drug Safety; maintain GCP compliance and inspection readiness.</w:t>
      </w:r>
    </w:p>
    <w:p w14:paraId="1B849F95" w14:textId="77777777" w:rsidR="00CF5B60" w:rsidRDefault="00166D11">
      <w:pPr>
        <w:pStyle w:val="ListBullet"/>
      </w:pPr>
      <w:r>
        <w:t>Author and review protocols, amendments, SAPs, IBs, and CSRs; co-lead FDA/EMA interactions and advisory prep with Regulatory Affairs.</w:t>
      </w:r>
    </w:p>
    <w:p w14:paraId="49EAE07C" w14:textId="77777777" w:rsidR="00CF5B60" w:rsidRDefault="00166D11">
      <w:pPr>
        <w:pStyle w:val="ListBullet"/>
      </w:pPr>
      <w:r>
        <w:t>Partner with Biometrics on statistical assumptions, sample size, and IA plans; tighten cycle times with ClinOps/CROs to hit FPFD/LSLV milestones.</w:t>
      </w:r>
    </w:p>
    <w:p w14:paraId="52B2C837" w14:textId="77777777" w:rsidR="00CF5B60" w:rsidRDefault="00166D11">
      <w:pPr>
        <w:pStyle w:val="ListBullet"/>
      </w:pPr>
      <w:r>
        <w:t>Recruit/mentor MDs and clinical scientists; forecast FTE/vendor budgets with Finance; drive vendor governance and risk mitigation.</w:t>
      </w:r>
    </w:p>
    <w:p w14:paraId="2FB7D7A6" w14:textId="77777777" w:rsidR="00CF5B60" w:rsidRDefault="00166D11">
      <w:pPr>
        <w:tabs>
          <w:tab w:val="right" w:pos="9360"/>
        </w:tabs>
      </w:pPr>
      <w:r>
        <w:rPr>
          <w:b/>
        </w:rPr>
        <w:t>CONFIDENTIAL | Global Pharma (Oncology) — San Mateo, CA  |  Director → Senior Director, Clinical Research</w:t>
      </w:r>
      <w:r>
        <w:tab/>
      </w:r>
      <w:r>
        <w:t>2014–2019</w:t>
      </w:r>
    </w:p>
    <w:p w14:paraId="3AD8C3D6" w14:textId="77777777" w:rsidR="00CF5B60" w:rsidRDefault="00166D11">
      <w:pPr>
        <w:pStyle w:val="ListBullet"/>
      </w:pPr>
      <w:r>
        <w:lastRenderedPageBreak/>
        <w:t>Led Phase 3 oncology study across 120+ sites; delivered protocol to FPI in 6 months; chaired global investigators’ meetings.</w:t>
      </w:r>
    </w:p>
    <w:p w14:paraId="28DDBBFD" w14:textId="77777777" w:rsidR="00CF5B60" w:rsidRDefault="00166D11">
      <w:pPr>
        <w:pStyle w:val="ListBullet"/>
      </w:pPr>
      <w:r>
        <w:t>Presented interim analyses to governance; secured go-forward decisions; supported BD due diligence on in‑licensing candidates.</w:t>
      </w:r>
    </w:p>
    <w:p w14:paraId="5D81AB2E" w14:textId="77777777" w:rsidR="00CF5B60" w:rsidRDefault="00166D11">
      <w:pPr>
        <w:pStyle w:val="ListBullet"/>
      </w:pPr>
      <w:r>
        <w:t>Co-authored peer-reviewed publications and congress abstracts with Medical Affairs and external KOLs.</w:t>
      </w:r>
    </w:p>
    <w:p w14:paraId="5290EE7C" w14:textId="77777777" w:rsidR="00CF5B60" w:rsidRDefault="00166D11">
      <w:r>
        <w:rPr>
          <w:b/>
          <w:sz w:val="22"/>
        </w:rPr>
        <w:t>EDUCATION</w:t>
      </w:r>
    </w:p>
    <w:p w14:paraId="1D19DEAB" w14:textId="77777777" w:rsidR="00CF5B60" w:rsidRDefault="00166D11">
      <w:pPr>
        <w:pStyle w:val="ListBullet"/>
      </w:pPr>
      <w:r>
        <w:t>M.D., Hematology/Oncology fellowship (details available upon request)</w:t>
      </w:r>
    </w:p>
    <w:p w14:paraId="048014E0" w14:textId="77777777" w:rsidR="00CF5B60" w:rsidRDefault="00166D11">
      <w:pPr>
        <w:pStyle w:val="ListBullet"/>
      </w:pPr>
      <w:r>
        <w:t>B.S., Biological Sciences</w:t>
      </w:r>
    </w:p>
    <w:p w14:paraId="40AD852E" w14:textId="77777777" w:rsidR="00CF5B60" w:rsidRDefault="00166D11">
      <w:r>
        <w:rPr>
          <w:b/>
          <w:sz w:val="22"/>
        </w:rPr>
        <w:t>CERTIFICATIONS &amp; MEMBERSHIPS</w:t>
      </w:r>
    </w:p>
    <w:p w14:paraId="5BDB0B34" w14:textId="77777777" w:rsidR="00CF5B60" w:rsidRDefault="00166D11">
      <w:pPr>
        <w:pStyle w:val="ListBullet"/>
      </w:pPr>
      <w:r>
        <w:t xml:space="preserve">Board Eligible/Certified </w:t>
      </w:r>
      <w:r>
        <w:t>(Hematology/Oncology)</w:t>
      </w:r>
    </w:p>
    <w:p w14:paraId="7D49AD64" w14:textId="77777777" w:rsidR="00CF5B60" w:rsidRDefault="00166D11">
      <w:pPr>
        <w:pStyle w:val="ListBullet"/>
      </w:pPr>
      <w:r>
        <w:t>Member, ASH; ASCO</w:t>
      </w:r>
    </w:p>
    <w:p w14:paraId="0E8DDDED" w14:textId="77777777" w:rsidR="00CF5B60" w:rsidRDefault="00166D11">
      <w:r>
        <w:rPr>
          <w:b/>
          <w:sz w:val="22"/>
        </w:rPr>
        <w:t>SELECTED PUBLICATIONS &amp; PRESENTATIONS</w:t>
      </w:r>
    </w:p>
    <w:p w14:paraId="738785AA" w14:textId="77777777" w:rsidR="00CF5B60" w:rsidRDefault="00166D11">
      <w:pPr>
        <w:pStyle w:val="ListBullet"/>
      </w:pPr>
      <w:r>
        <w:t>Peer‑reviewed articles and congress abstracts available upon request.</w:t>
      </w:r>
    </w:p>
    <w:sectPr w:rsidR="00CF5B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213053">
    <w:abstractNumId w:val="8"/>
  </w:num>
  <w:num w:numId="2" w16cid:durableId="1790196299">
    <w:abstractNumId w:val="6"/>
  </w:num>
  <w:num w:numId="3" w16cid:durableId="810516437">
    <w:abstractNumId w:val="5"/>
  </w:num>
  <w:num w:numId="4" w16cid:durableId="770668749">
    <w:abstractNumId w:val="4"/>
  </w:num>
  <w:num w:numId="5" w16cid:durableId="844906634">
    <w:abstractNumId w:val="7"/>
  </w:num>
  <w:num w:numId="6" w16cid:durableId="1040782159">
    <w:abstractNumId w:val="3"/>
  </w:num>
  <w:num w:numId="7" w16cid:durableId="1744722350">
    <w:abstractNumId w:val="2"/>
  </w:num>
  <w:num w:numId="8" w16cid:durableId="801850051">
    <w:abstractNumId w:val="1"/>
  </w:num>
  <w:num w:numId="9" w16cid:durableId="38706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D11"/>
    <w:rsid w:val="0029639D"/>
    <w:rsid w:val="00326F90"/>
    <w:rsid w:val="007260B1"/>
    <w:rsid w:val="00AA1D8D"/>
    <w:rsid w:val="00B47730"/>
    <w:rsid w:val="00CB0664"/>
    <w:rsid w:val="00CF5B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57495"/>
  <w14:defaultImageDpi w14:val="300"/>
  <w15:docId w15:val="{5A7A1D54-47AD-4401-9403-22F4AD87F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326</Words>
  <Characters>2335</Characters>
  <Application>Microsoft Office Word</Application>
  <DocSecurity>0</DocSecurity>
  <Lines>48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Blair</cp:lastModifiedBy>
  <cp:revision>2</cp:revision>
  <dcterms:created xsi:type="dcterms:W3CDTF">2025-08-11T18:51:00Z</dcterms:created>
  <dcterms:modified xsi:type="dcterms:W3CDTF">2025-08-11T18:51:00Z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be3c85b3-c485-4fef-8ef6-e3939c3ab3aa</vt:lpwstr>
  </property>
</Properties>
</file>