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87CC2" w14:textId="77777777" w:rsidR="00650CAA" w:rsidRDefault="00030675">
      <w:r>
        <w:rPr>
          <w:b/>
          <w:sz w:val="32"/>
        </w:rPr>
        <w:t>CONFIDENTIAL CANDIDATE B</w:t>
      </w:r>
    </w:p>
    <w:p w14:paraId="4D76EF8C" w14:textId="77777777" w:rsidR="00650CAA" w:rsidRDefault="00030675">
      <w:r>
        <w:t>Greater Boston, MA</w:t>
      </w:r>
    </w:p>
    <w:p w14:paraId="66D0BC3A" w14:textId="77777777" w:rsidR="00650CAA" w:rsidRDefault="00030675">
      <w:r>
        <w:rPr>
          <w:b/>
          <w:sz w:val="24"/>
        </w:rPr>
        <w:t>VICE PRESIDENT, CLINICAL DEVELOPMENT | SOLID TUMORS/HEMATOLOGY (M.D.)</w:t>
      </w:r>
    </w:p>
    <w:p w14:paraId="70D1EC43" w14:textId="77777777" w:rsidR="00650CAA" w:rsidRDefault="00030675">
      <w:r>
        <w:rPr>
          <w:b/>
          <w:sz w:val="22"/>
        </w:rPr>
        <w:t>PROFESSIONAL SUMMARY</w:t>
      </w:r>
    </w:p>
    <w:p w14:paraId="4061B575" w14:textId="77777777" w:rsidR="00650CAA" w:rsidRDefault="00030675">
      <w:pPr>
        <w:pStyle w:val="ListBullet"/>
      </w:pPr>
      <w:r>
        <w:t xml:space="preserve">Clinical leader with 15+ years of oncology drug development experience spanning Phase 1/first‑in‑human to Phase 4, </w:t>
      </w:r>
      <w:r>
        <w:t>including post‑marketing safety.</w:t>
      </w:r>
    </w:p>
    <w:p w14:paraId="7F7B31BA" w14:textId="77777777" w:rsidR="00650CAA" w:rsidRDefault="00030675">
      <w:pPr>
        <w:pStyle w:val="ListBullet"/>
      </w:pPr>
      <w:r>
        <w:t>Proven record steering multidisciplinary teams (Biometrics, Research, Med Affairs, Regulatory, ClinOps) and external CROs to deliver on time and with quality.</w:t>
      </w:r>
    </w:p>
    <w:p w14:paraId="342F9FD0" w14:textId="77777777" w:rsidR="00650CAA" w:rsidRDefault="00030675">
      <w:pPr>
        <w:pStyle w:val="ListBullet"/>
      </w:pPr>
      <w:r>
        <w:t>Direct experience with FDA/EMA meetings; contributes to briefing documents, registration dossiers, and labeling negotiations.</w:t>
      </w:r>
    </w:p>
    <w:p w14:paraId="2212B020" w14:textId="77777777" w:rsidR="00650CAA" w:rsidRDefault="00030675">
      <w:pPr>
        <w:pStyle w:val="ListBullet"/>
      </w:pPr>
      <w:r>
        <w:t>Builds durable KOL networks and patient‑advocacy partnerships; strong communicator to boards and investigators.</w:t>
      </w:r>
    </w:p>
    <w:p w14:paraId="41FB92FE" w14:textId="77777777" w:rsidR="00650CAA" w:rsidRDefault="00030675">
      <w:r>
        <w:rPr>
          <w:b/>
          <w:sz w:val="22"/>
        </w:rPr>
        <w:t>CORE COMPETENCIES</w:t>
      </w:r>
    </w:p>
    <w:p w14:paraId="6B42EC2B" w14:textId="77777777" w:rsidR="00650CAA" w:rsidRDefault="00030675">
      <w:pPr>
        <w:pStyle w:val="ListBullet"/>
      </w:pPr>
      <w:r>
        <w:t>End‑to‑End Clinical Development (FIH → LCM)</w:t>
      </w:r>
    </w:p>
    <w:p w14:paraId="016B1BEB" w14:textId="77777777" w:rsidR="00650CAA" w:rsidRDefault="00030675">
      <w:pPr>
        <w:pStyle w:val="ListBullet"/>
      </w:pPr>
      <w:r>
        <w:t>Health‑Authority Strategy &amp; Meeting Leadership</w:t>
      </w:r>
    </w:p>
    <w:p w14:paraId="051AC83D" w14:textId="77777777" w:rsidR="00650CAA" w:rsidRDefault="00030675">
      <w:pPr>
        <w:pStyle w:val="ListBullet"/>
      </w:pPr>
      <w:r>
        <w:t>Protocol/IB/CSR/Briefing Book Authorship</w:t>
      </w:r>
    </w:p>
    <w:p w14:paraId="6F8072AC" w14:textId="77777777" w:rsidR="00650CAA" w:rsidRDefault="00030675">
      <w:pPr>
        <w:pStyle w:val="ListBullet"/>
      </w:pPr>
      <w:r>
        <w:t>Safety Monitoring &amp; PV Collaboration</w:t>
      </w:r>
    </w:p>
    <w:p w14:paraId="2DBC23C2" w14:textId="77777777" w:rsidR="00650CAA" w:rsidRDefault="00030675">
      <w:pPr>
        <w:pStyle w:val="ListBullet"/>
      </w:pPr>
      <w:r>
        <w:t>Resource/Budget Forecasting &amp; Vendor Governance</w:t>
      </w:r>
    </w:p>
    <w:p w14:paraId="25B49A07" w14:textId="77777777" w:rsidR="00650CAA" w:rsidRDefault="00030675">
      <w:pPr>
        <w:pStyle w:val="ListBullet"/>
      </w:pPr>
      <w:r>
        <w:t>Advisory Boards, DSMBs, and Investigator Training</w:t>
      </w:r>
    </w:p>
    <w:p w14:paraId="1C85BC23" w14:textId="77777777" w:rsidR="00650CAA" w:rsidRDefault="00030675">
      <w:r>
        <w:rPr>
          <w:b/>
          <w:sz w:val="22"/>
        </w:rPr>
        <w:t>EXPERIENCE</w:t>
      </w:r>
    </w:p>
    <w:p w14:paraId="518F4A07" w14:textId="77777777" w:rsidR="00650CAA" w:rsidRDefault="00030675">
      <w:pPr>
        <w:tabs>
          <w:tab w:val="right" w:pos="9360"/>
        </w:tabs>
      </w:pPr>
      <w:r>
        <w:rPr>
          <w:b/>
        </w:rPr>
        <w:t>CONFIDENTIAL | Oncology Biotech (Public) — Cambridge, MA  |  Vice President, Clinical Development</w:t>
      </w:r>
      <w:r>
        <w:tab/>
      </w:r>
      <w:r>
        <w:t>2020–Present</w:t>
      </w:r>
    </w:p>
    <w:p w14:paraId="0117DB0B" w14:textId="77777777" w:rsidR="00650CAA" w:rsidRDefault="00030675">
      <w:pPr>
        <w:pStyle w:val="ListBullet"/>
      </w:pPr>
      <w:r>
        <w:t>Lead clinical strategy across two solid‑tumor assets; harmonize biomarker strategy with Research and Biometrics.</w:t>
      </w:r>
    </w:p>
    <w:p w14:paraId="0B3AE913" w14:textId="77777777" w:rsidR="00650CAA" w:rsidRDefault="00030675">
      <w:pPr>
        <w:pStyle w:val="ListBullet"/>
      </w:pPr>
      <w:r>
        <w:t>Co‑lead FDA Type B and EMA Scientific Advice meetings; align on endpoints and statistical plans for pivotal studies.</w:t>
      </w:r>
    </w:p>
    <w:p w14:paraId="6E0C3A98" w14:textId="77777777" w:rsidR="00650CAA" w:rsidRDefault="00030675">
      <w:pPr>
        <w:pStyle w:val="ListBullet"/>
      </w:pPr>
      <w:r>
        <w:t>Stand up compassionate‑use/expanded‑access program with Medical Affairs and Safety; ensure compliance and reporting.</w:t>
      </w:r>
    </w:p>
    <w:p w14:paraId="6630C381" w14:textId="77777777" w:rsidR="00650CAA" w:rsidRDefault="00030675">
      <w:pPr>
        <w:tabs>
          <w:tab w:val="right" w:pos="9360"/>
        </w:tabs>
      </w:pPr>
      <w:r>
        <w:rPr>
          <w:b/>
        </w:rPr>
        <w:t>CONFIDENTIAL | Oncology Biotech (Private) — Boston, MA  |  Senior Director, Clinical Development</w:t>
      </w:r>
      <w:r>
        <w:tab/>
      </w:r>
      <w:r>
        <w:t>2016–2020</w:t>
      </w:r>
    </w:p>
    <w:p w14:paraId="77C90BD8" w14:textId="77777777" w:rsidR="00650CAA" w:rsidRDefault="00030675">
      <w:pPr>
        <w:pStyle w:val="ListBullet"/>
      </w:pPr>
      <w:r>
        <w:t>Drove Phase 2 program in heme malignancies; optimized site activation and data quality with CRO partners.</w:t>
      </w:r>
    </w:p>
    <w:p w14:paraId="76D85174" w14:textId="77777777" w:rsidR="00650CAA" w:rsidRDefault="00030675">
      <w:pPr>
        <w:pStyle w:val="ListBullet"/>
      </w:pPr>
      <w:r>
        <w:t>Supported BD diligence and in‑licensing assessments; led external advisory boards with KOLs and patient groups.</w:t>
      </w:r>
    </w:p>
    <w:p w14:paraId="63B9D63C" w14:textId="77777777" w:rsidR="00650CAA" w:rsidRDefault="00030675">
      <w:r>
        <w:rPr>
          <w:b/>
          <w:sz w:val="22"/>
        </w:rPr>
        <w:t>EDUCATION</w:t>
      </w:r>
    </w:p>
    <w:p w14:paraId="6B5CA8D1" w14:textId="77777777" w:rsidR="00650CAA" w:rsidRDefault="00030675">
      <w:pPr>
        <w:pStyle w:val="ListBullet"/>
      </w:pPr>
      <w:r>
        <w:t>M.D., Oncology training (details available upon request)</w:t>
      </w:r>
    </w:p>
    <w:p w14:paraId="5CC53EC7" w14:textId="77777777" w:rsidR="00650CAA" w:rsidRDefault="00030675">
      <w:pPr>
        <w:pStyle w:val="ListBullet"/>
      </w:pPr>
      <w:r>
        <w:t>B.A., Chemistry</w:t>
      </w:r>
    </w:p>
    <w:p w14:paraId="16064504" w14:textId="77777777" w:rsidR="00650CAA" w:rsidRDefault="00030675">
      <w:r>
        <w:rPr>
          <w:b/>
          <w:sz w:val="22"/>
        </w:rPr>
        <w:lastRenderedPageBreak/>
        <w:t>PROFESSIONAL ACTIVITIES</w:t>
      </w:r>
    </w:p>
    <w:p w14:paraId="09927370" w14:textId="77777777" w:rsidR="00650CAA" w:rsidRDefault="00030675">
      <w:pPr>
        <w:pStyle w:val="ListBullet"/>
      </w:pPr>
      <w:r>
        <w:t>Session chair/moderator at ASCO/ESMO; invited speaker at industry workshops.</w:t>
      </w:r>
    </w:p>
    <w:sectPr w:rsidR="00650C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7180040">
    <w:abstractNumId w:val="8"/>
  </w:num>
  <w:num w:numId="2" w16cid:durableId="1844274825">
    <w:abstractNumId w:val="6"/>
  </w:num>
  <w:num w:numId="3" w16cid:durableId="587153982">
    <w:abstractNumId w:val="5"/>
  </w:num>
  <w:num w:numId="4" w16cid:durableId="1920558996">
    <w:abstractNumId w:val="4"/>
  </w:num>
  <w:num w:numId="5" w16cid:durableId="1415471171">
    <w:abstractNumId w:val="7"/>
  </w:num>
  <w:num w:numId="6" w16cid:durableId="1899629809">
    <w:abstractNumId w:val="3"/>
  </w:num>
  <w:num w:numId="7" w16cid:durableId="886375288">
    <w:abstractNumId w:val="2"/>
  </w:num>
  <w:num w:numId="8" w16cid:durableId="546602870">
    <w:abstractNumId w:val="1"/>
  </w:num>
  <w:num w:numId="9" w16cid:durableId="1174147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675"/>
    <w:rsid w:val="00034616"/>
    <w:rsid w:val="00040B8B"/>
    <w:rsid w:val="0006063C"/>
    <w:rsid w:val="0015074B"/>
    <w:rsid w:val="0029639D"/>
    <w:rsid w:val="00326F90"/>
    <w:rsid w:val="00650CA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AF32E7"/>
  <w14:defaultImageDpi w14:val="300"/>
  <w15:docId w15:val="{1F49B1CC-F950-443A-97A9-11A4DBC89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239</Words>
  <Characters>1704</Characters>
  <Application>Microsoft Office Word</Application>
  <DocSecurity>0</DocSecurity>
  <Lines>37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Bryan Blair</cp:lastModifiedBy>
  <cp:revision>2</cp:revision>
  <dcterms:created xsi:type="dcterms:W3CDTF">2025-08-11T18:52:00Z</dcterms:created>
  <dcterms:modified xsi:type="dcterms:W3CDTF">2025-08-11T18:52:00Z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fb2c4082-34f8-4269-83f4-cfb0e4499e2e</vt:lpwstr>
  </property>
</Properties>
</file>