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3592" w14:textId="78F930B3" w:rsidR="00E31C85" w:rsidRPr="007B0279" w:rsidRDefault="00E31C85" w:rsidP="00E31C85">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CONFIDENTIAL </w:t>
      </w:r>
      <w:r w:rsidRPr="007B0279">
        <w:rPr>
          <w:rFonts w:ascii="Times New Roman" w:eastAsia="Times New Roman" w:hAnsi="Times New Roman" w:cs="Times New Roman"/>
          <w:b/>
          <w:bCs/>
          <w:kern w:val="36"/>
          <w:sz w:val="48"/>
          <w:szCs w:val="48"/>
          <w14:ligatures w14:val="none"/>
        </w:rPr>
        <w:t>CANDIDATE</w:t>
      </w:r>
    </w:p>
    <w:p w14:paraId="5AA8FCB3" w14:textId="0ACE3898" w:rsidR="00E31C85" w:rsidRPr="007B0279" w:rsidRDefault="00E31C85" w:rsidP="00E31C85">
      <w:pPr>
        <w:spacing w:before="100" w:beforeAutospacing="1" w:after="100" w:afterAutospacing="1" w:line="240" w:lineRule="auto"/>
        <w:jc w:val="center"/>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Greater Boston, MA</w:t>
      </w:r>
    </w:p>
    <w:p w14:paraId="1FF356FD" w14:textId="77777777"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PROFESSIONAL SUMMARY</w:t>
      </w:r>
    </w:p>
    <w:p w14:paraId="555CFA55" w14:textId="77777777" w:rsidR="00E31C85" w:rsidRPr="007B0279" w:rsidRDefault="00E31C85" w:rsidP="00E31C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Strategic biostatistics executive with 12+ years of cellular metabolism and rare disease expertise, known for building high-performing teams and rigorous statistical methodology</w:t>
      </w:r>
    </w:p>
    <w:p w14:paraId="6AFC6139" w14:textId="77777777" w:rsidR="00E31C85" w:rsidRPr="007B0279" w:rsidRDefault="00E31C85" w:rsidP="00E31C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Extensive regulatory submission experience with proven leadership in high-pressure environments and cross-functional collaboration across global teams</w:t>
      </w:r>
    </w:p>
    <w:p w14:paraId="6F2AB972" w14:textId="77777777" w:rsidR="00E31C85" w:rsidRPr="007B0279" w:rsidRDefault="00E31C85" w:rsidP="00E31C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Greater Boston area | Experienced in hybrid/remote team management | Current compensation expectation: $200K</w:t>
      </w:r>
    </w:p>
    <w:p w14:paraId="5519406D" w14:textId="77777777"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PROFESSIONAL EXPERIENCE</w:t>
      </w:r>
    </w:p>
    <w:p w14:paraId="6C6E90D0" w14:textId="77777777" w:rsidR="00E31C85"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Confidential</w:t>
      </w:r>
      <w:r w:rsidRPr="007B0279">
        <w:rPr>
          <w:rFonts w:ascii="Times New Roman" w:eastAsia="Times New Roman" w:hAnsi="Times New Roman" w:cs="Times New Roman"/>
          <w:b/>
          <w:bCs/>
          <w:kern w:val="0"/>
          <w14:ligatures w14:val="none"/>
        </w:rPr>
        <w:t xml:space="preserve"> Pharmaceuticals</w:t>
      </w:r>
      <w:r w:rsidRPr="007B0279">
        <w:rPr>
          <w:rFonts w:ascii="Times New Roman" w:eastAsia="Times New Roman" w:hAnsi="Times New Roman" w:cs="Times New Roman"/>
          <w:kern w:val="0"/>
          <w14:ligatures w14:val="none"/>
        </w:rPr>
        <w:t xml:space="preserve"> Jun 2018 - Present </w:t>
      </w:r>
    </w:p>
    <w:p w14:paraId="44C972BC" w14:textId="449D951F"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Associate Director, Biostatistics - Rare Disease Division</w:t>
      </w:r>
    </w:p>
    <w:p w14:paraId="7F4367AA" w14:textId="77777777" w:rsidR="00E31C85" w:rsidRPr="007B0279" w:rsidRDefault="00E31C85" w:rsidP="00E31C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Direct comprehensive statistical strategy for $2B rare disease portfolio focusing on cellular metabolism disorders and enzyme replacement therapies, overseeing all statistical aspects from early development through post-marketing studies while ensuring alignment with global regulatory requirements and maintaining rigorous statistical standards across 12 concurrent development programs spanning multiple therapeutic areas</w:t>
      </w:r>
    </w:p>
    <w:p w14:paraId="57ECEF00" w14:textId="77777777" w:rsidR="00E31C85" w:rsidRPr="007B0279" w:rsidRDefault="00E31C85" w:rsidP="00E31C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Built and strategically led high-performing biostatistics team of 8 professionals supporting 12 global development programs simultaneously, implementing robust training programs, establishing clear performance metrics, and fostering collaborative team culture while managing complex resource allocation across competing priorities and maintaining calm leadership during high-pressure regulatory submission timelines</w:t>
      </w:r>
    </w:p>
    <w:p w14:paraId="3799B1C9" w14:textId="77777777" w:rsidR="00E31C85" w:rsidRPr="007B0279" w:rsidRDefault="00E31C85" w:rsidP="00E31C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Established comprehensive statistical standards and detailed standard operating procedures for rare disease program development, creating frameworks for protocol development, statistical analysis planning, and regulatory submission preparation that were subsequently adopted company-wide across all therapeutic areas, demonstrating exceptional leadership in statistical methodology and regulatory strategy</w:t>
      </w:r>
    </w:p>
    <w:p w14:paraId="1E463D3F" w14:textId="77777777" w:rsidR="00E31C85" w:rsidRPr="007B0279" w:rsidRDefault="00E31C85" w:rsidP="00E31C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Successfully supported 4 major NDA/BLA regulatory filings with zero critical statistical deficiencies identified by regulatory agencies, leading complex cross-functional teams through rigorous submission preparation processes while managing multiple agency interactions and ensuring all statistical components met or exceeded regulatory expectations under intense deadline pressure</w:t>
      </w:r>
    </w:p>
    <w:p w14:paraId="07A84978" w14:textId="77777777" w:rsidR="00E31C85" w:rsidRPr="007B0279" w:rsidRDefault="00E31C85" w:rsidP="00E31C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Implemented innovative Bayesian statistical approaches for small population studies, developing novel methodological frameworks that enabled regulatory approval pathways for ultra-rare diseases with limited patient populations while collaborating with regulatory agencies to establish precedent for future rare disease development programs</w:t>
      </w:r>
    </w:p>
    <w:p w14:paraId="5E17412E" w14:textId="77777777" w:rsidR="00E31C85" w:rsidRPr="007B0279" w:rsidRDefault="00E31C85" w:rsidP="00E31C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Collaborated extensively with external academic consortiums and patient advocacy groups on natural history studies and clinical outcome assessment development, leading multi-stakeholder initiatives to establish disease-specific endpoints and measurement tools while ensuring scientific rigor and regulatory acceptability of novel assessment methodologies</w:t>
      </w:r>
    </w:p>
    <w:p w14:paraId="3D2C7194" w14:textId="77777777" w:rsidR="00E31C85" w:rsidRPr="007B0279" w:rsidRDefault="00E31C85" w:rsidP="00E31C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Managed complex $5M annual contract research organization budget for statistical programming and data management services, overseeing vendor selection, contract negotiation, and performance monitoring while ensuring cost-effective delivery of high-quality statistical deliverables and maintaining strong vendor relationships across global operations</w:t>
      </w:r>
    </w:p>
    <w:p w14:paraId="6D0E1BDF" w14:textId="77777777" w:rsidR="00E31C85" w:rsidRPr="007B0279" w:rsidRDefault="00E31C85" w:rsidP="00E31C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lastRenderedPageBreak/>
        <w:t>Presented at 6 prestigious international conferences on innovative statistical methods in rare disease development, establishing thought leadership in cellular metabolism research methodology while representing company expertise and building professional networks that enhanced collaborative research opportunities</w:t>
      </w:r>
    </w:p>
    <w:p w14:paraId="5150236F" w14:textId="77777777"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Senior Biostatistician</w:t>
      </w:r>
      <w:r w:rsidRPr="007B0279">
        <w:rPr>
          <w:rFonts w:ascii="Times New Roman" w:eastAsia="Times New Roman" w:hAnsi="Times New Roman" w:cs="Times New Roman"/>
          <w:kern w:val="0"/>
          <w14:ligatures w14:val="none"/>
        </w:rPr>
        <w:t xml:space="preserve"> Feb 2015 - Jun 2018</w:t>
      </w:r>
    </w:p>
    <w:p w14:paraId="0A6C490C" w14:textId="77777777" w:rsidR="00E31C85" w:rsidRPr="007B0279" w:rsidRDefault="00E31C85" w:rsidP="00E31C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Led comprehensive statistical activities for 3 pivotal Phase 3 studies in lysosomal storage disorders, managing all aspects of statistical design, conduct, and analysis while coordinating closely with clinical teams, regulatory affairs, and data management to ensure seamless execution of complex protocols under rigorous regulatory oversight and tight timelines</w:t>
      </w:r>
    </w:p>
    <w:p w14:paraId="773AFE2A" w14:textId="77777777" w:rsidR="00E31C85" w:rsidRPr="007B0279" w:rsidRDefault="00E31C85" w:rsidP="00E31C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Developed detailed protocol amendments and statistical analysis plan modifications based on interim efficacy analyses and evolving regulatory guidance, demonstrating flexibility and strategic thinking while maintaining statistical integrity and ensuring continued regulatory alignment throughout lengthy development programs with changing requirements and stakeholder expectations</w:t>
      </w:r>
    </w:p>
    <w:p w14:paraId="0674F6C5" w14:textId="77777777" w:rsidR="00E31C85"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Confidential </w:t>
      </w:r>
      <w:r w:rsidRPr="007B0279">
        <w:rPr>
          <w:rFonts w:ascii="Times New Roman" w:eastAsia="Times New Roman" w:hAnsi="Times New Roman" w:cs="Times New Roman"/>
          <w:b/>
          <w:bCs/>
          <w:kern w:val="0"/>
          <w14:ligatures w14:val="none"/>
        </w:rPr>
        <w:t>Biosciences</w:t>
      </w:r>
      <w:r w:rsidRPr="007B0279">
        <w:rPr>
          <w:rFonts w:ascii="Times New Roman" w:eastAsia="Times New Roman" w:hAnsi="Times New Roman" w:cs="Times New Roman"/>
          <w:kern w:val="0"/>
          <w14:ligatures w14:val="none"/>
        </w:rPr>
        <w:t xml:space="preserve"> Aug 2012 - Feb 2015 </w:t>
      </w:r>
    </w:p>
    <w:p w14:paraId="30B090CD" w14:textId="77777777" w:rsidR="00E31C85"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Biostatistician II</w:t>
      </w:r>
      <w:r w:rsidRPr="007B0279">
        <w:rPr>
          <w:rFonts w:ascii="Times New Roman" w:eastAsia="Times New Roman" w:hAnsi="Times New Roman" w:cs="Times New Roman"/>
          <w:kern w:val="0"/>
          <w14:ligatures w14:val="none"/>
        </w:rPr>
        <w:t xml:space="preserve"> Jun 2013 - Feb 2015 </w:t>
      </w:r>
    </w:p>
    <w:p w14:paraId="2D3582ED" w14:textId="502B8595"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Biostatistician I</w:t>
      </w:r>
      <w:r w:rsidRPr="007B0279">
        <w:rPr>
          <w:rFonts w:ascii="Times New Roman" w:eastAsia="Times New Roman" w:hAnsi="Times New Roman" w:cs="Times New Roman"/>
          <w:kern w:val="0"/>
          <w14:ligatures w14:val="none"/>
        </w:rPr>
        <w:t xml:space="preserve"> Aug 2012 - Jun 2013</w:t>
      </w:r>
    </w:p>
    <w:p w14:paraId="78EC86B3" w14:textId="77777777" w:rsidR="00E31C85" w:rsidRPr="007B0279" w:rsidRDefault="00E31C85" w:rsidP="00E31C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Supported comprehensive early-phase clinical development for novel cellular metabolism targets, providing statistical expertise for first-in-human studies and dose-escalation trials while collaborating with translational medicine teams to establish pharmacokinetic/pharmacodynamic relationships and contributing to regulatory strategy development for innovative therapeutic approaches in cellular metabolism disorders</w:t>
      </w:r>
    </w:p>
    <w:p w14:paraId="24F8819B" w14:textId="77777777" w:rsidR="00E31C85" w:rsidRPr="007B0279" w:rsidRDefault="00E31C85" w:rsidP="00E31C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Programmed complex statistical analyses using advanced SAS and R programming techniques for quarterly Data Safety Monitoring Board reports, creating automated reporting systems that enhanced efficiency and accuracy while ensuring consistent presentation of safety and efficacy data to independent board members during critical decision-making periods</w:t>
      </w:r>
    </w:p>
    <w:p w14:paraId="6C90E575" w14:textId="77777777" w:rsidR="00E31C85" w:rsidRPr="007B0279" w:rsidRDefault="00E31C85" w:rsidP="00E31C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kern w:val="0"/>
          <w14:ligatures w14:val="none"/>
        </w:rPr>
        <w:t>Contributed essential statistical input to 2 Investigational New Drug (IND) submissions and Phase 1 dose-escalation study designs, providing sample size justifications, statistical monitoring plans, and safety run-in procedures while ensuring compliance with FDA guidance for first-in-human studies and demonstrating strong attention to regulatory detail and patient safety considerations</w:t>
      </w:r>
    </w:p>
    <w:p w14:paraId="0DBFA4A8" w14:textId="77777777"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EDUCATION</w:t>
      </w:r>
    </w:p>
    <w:p w14:paraId="0C1C6AEB" w14:textId="77777777"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Boston University School of Public Health</w:t>
      </w:r>
      <w:r w:rsidRPr="007B0279">
        <w:rPr>
          <w:rFonts w:ascii="Times New Roman" w:eastAsia="Times New Roman" w:hAnsi="Times New Roman" w:cs="Times New Roman"/>
          <w:kern w:val="0"/>
          <w14:ligatures w14:val="none"/>
        </w:rPr>
        <w:t>, 2012 Ph.D. in Biostatistics, Summa Cum Laude</w:t>
      </w:r>
    </w:p>
    <w:p w14:paraId="393E8174" w14:textId="77777777"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Massachusetts Institute of Technology</w:t>
      </w:r>
      <w:r w:rsidRPr="007B0279">
        <w:rPr>
          <w:rFonts w:ascii="Times New Roman" w:eastAsia="Times New Roman" w:hAnsi="Times New Roman" w:cs="Times New Roman"/>
          <w:kern w:val="0"/>
          <w14:ligatures w14:val="none"/>
        </w:rPr>
        <w:t>, 2008 M.S. in Applied Mathematics</w:t>
      </w:r>
    </w:p>
    <w:p w14:paraId="2DF90EF1" w14:textId="77777777" w:rsidR="00E31C85" w:rsidRPr="007B0279" w:rsidRDefault="00E31C85" w:rsidP="00E31C85">
      <w:pPr>
        <w:spacing w:before="100" w:beforeAutospacing="1" w:after="100" w:afterAutospacing="1" w:line="240" w:lineRule="auto"/>
        <w:rPr>
          <w:rFonts w:ascii="Times New Roman" w:eastAsia="Times New Roman" w:hAnsi="Times New Roman" w:cs="Times New Roman"/>
          <w:kern w:val="0"/>
          <w14:ligatures w14:val="none"/>
        </w:rPr>
      </w:pPr>
      <w:r w:rsidRPr="007B0279">
        <w:rPr>
          <w:rFonts w:ascii="Times New Roman" w:eastAsia="Times New Roman" w:hAnsi="Times New Roman" w:cs="Times New Roman"/>
          <w:b/>
          <w:bCs/>
          <w:kern w:val="0"/>
          <w14:ligatures w14:val="none"/>
        </w:rPr>
        <w:t>AWARDS AND ACTIVITIES</w:t>
      </w:r>
      <w:r w:rsidRPr="007B0279">
        <w:rPr>
          <w:rFonts w:ascii="Times New Roman" w:eastAsia="Times New Roman" w:hAnsi="Times New Roman" w:cs="Times New Roman"/>
          <w:kern w:val="0"/>
          <w14:ligatures w14:val="none"/>
        </w:rPr>
        <w:t xml:space="preserve"> 2023 </w:t>
      </w:r>
      <w:proofErr w:type="spellStart"/>
      <w:r w:rsidRPr="007B0279">
        <w:rPr>
          <w:rFonts w:ascii="Times New Roman" w:eastAsia="Times New Roman" w:hAnsi="Times New Roman" w:cs="Times New Roman"/>
          <w:kern w:val="0"/>
          <w14:ligatures w14:val="none"/>
        </w:rPr>
        <w:t>Novacor</w:t>
      </w:r>
      <w:proofErr w:type="spellEnd"/>
      <w:r w:rsidRPr="007B0279">
        <w:rPr>
          <w:rFonts w:ascii="Times New Roman" w:eastAsia="Times New Roman" w:hAnsi="Times New Roman" w:cs="Times New Roman"/>
          <w:kern w:val="0"/>
          <w14:ligatures w14:val="none"/>
        </w:rPr>
        <w:t xml:space="preserve"> Leadership Excellence Award 2021 Speaker, ASA Biopharmaceutical Section Spring Conference 2020 FDA Complex Innovative Designs Pilot Program Participant</w:t>
      </w:r>
    </w:p>
    <w:p w14:paraId="46BEF82F" w14:textId="77777777" w:rsidR="00E31C85" w:rsidRDefault="00E31C85" w:rsidP="00E31C85"/>
    <w:p w14:paraId="4109105F" w14:textId="77777777" w:rsidR="003E5CA4" w:rsidRDefault="003E5CA4"/>
    <w:sectPr w:rsidR="003E5CA4" w:rsidSect="00E31C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6A1"/>
    <w:multiLevelType w:val="multilevel"/>
    <w:tmpl w:val="AED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1624D"/>
    <w:multiLevelType w:val="multilevel"/>
    <w:tmpl w:val="048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35746"/>
    <w:multiLevelType w:val="multilevel"/>
    <w:tmpl w:val="A4A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CD6A19"/>
    <w:multiLevelType w:val="multilevel"/>
    <w:tmpl w:val="0C56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051189">
    <w:abstractNumId w:val="2"/>
  </w:num>
  <w:num w:numId="2" w16cid:durableId="2013101878">
    <w:abstractNumId w:val="1"/>
  </w:num>
  <w:num w:numId="3" w16cid:durableId="925269366">
    <w:abstractNumId w:val="0"/>
  </w:num>
  <w:num w:numId="4" w16cid:durableId="749352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C85"/>
    <w:rsid w:val="001D4820"/>
    <w:rsid w:val="003E5CA4"/>
    <w:rsid w:val="008258C5"/>
    <w:rsid w:val="00CA2E6D"/>
    <w:rsid w:val="00E31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3DAB1"/>
  <w15:chartTrackingRefBased/>
  <w15:docId w15:val="{C87092B1-9116-48FD-93A8-9E3B4A02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C85"/>
  </w:style>
  <w:style w:type="paragraph" w:styleId="Heading1">
    <w:name w:val="heading 1"/>
    <w:basedOn w:val="Normal"/>
    <w:next w:val="Normal"/>
    <w:link w:val="Heading1Char"/>
    <w:uiPriority w:val="9"/>
    <w:qFormat/>
    <w:rsid w:val="00E31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C85"/>
    <w:rPr>
      <w:rFonts w:eastAsiaTheme="majorEastAsia" w:cstheme="majorBidi"/>
      <w:color w:val="272727" w:themeColor="text1" w:themeTint="D8"/>
    </w:rPr>
  </w:style>
  <w:style w:type="paragraph" w:styleId="Title">
    <w:name w:val="Title"/>
    <w:basedOn w:val="Normal"/>
    <w:next w:val="Normal"/>
    <w:link w:val="TitleChar"/>
    <w:uiPriority w:val="10"/>
    <w:qFormat/>
    <w:rsid w:val="00E31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C85"/>
    <w:pPr>
      <w:spacing w:before="160"/>
      <w:jc w:val="center"/>
    </w:pPr>
    <w:rPr>
      <w:i/>
      <w:iCs/>
      <w:color w:val="404040" w:themeColor="text1" w:themeTint="BF"/>
    </w:rPr>
  </w:style>
  <w:style w:type="character" w:customStyle="1" w:styleId="QuoteChar">
    <w:name w:val="Quote Char"/>
    <w:basedOn w:val="DefaultParagraphFont"/>
    <w:link w:val="Quote"/>
    <w:uiPriority w:val="29"/>
    <w:rsid w:val="00E31C85"/>
    <w:rPr>
      <w:i/>
      <w:iCs/>
      <w:color w:val="404040" w:themeColor="text1" w:themeTint="BF"/>
    </w:rPr>
  </w:style>
  <w:style w:type="paragraph" w:styleId="ListParagraph">
    <w:name w:val="List Paragraph"/>
    <w:basedOn w:val="Normal"/>
    <w:uiPriority w:val="34"/>
    <w:qFormat/>
    <w:rsid w:val="00E31C85"/>
    <w:pPr>
      <w:ind w:left="720"/>
      <w:contextualSpacing/>
    </w:pPr>
  </w:style>
  <w:style w:type="character" w:styleId="IntenseEmphasis">
    <w:name w:val="Intense Emphasis"/>
    <w:basedOn w:val="DefaultParagraphFont"/>
    <w:uiPriority w:val="21"/>
    <w:qFormat/>
    <w:rsid w:val="00E31C85"/>
    <w:rPr>
      <w:i/>
      <w:iCs/>
      <w:color w:val="0F4761" w:themeColor="accent1" w:themeShade="BF"/>
    </w:rPr>
  </w:style>
  <w:style w:type="paragraph" w:styleId="IntenseQuote">
    <w:name w:val="Intense Quote"/>
    <w:basedOn w:val="Normal"/>
    <w:next w:val="Normal"/>
    <w:link w:val="IntenseQuoteChar"/>
    <w:uiPriority w:val="30"/>
    <w:qFormat/>
    <w:rsid w:val="00E31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C85"/>
    <w:rPr>
      <w:i/>
      <w:iCs/>
      <w:color w:val="0F4761" w:themeColor="accent1" w:themeShade="BF"/>
    </w:rPr>
  </w:style>
  <w:style w:type="character" w:styleId="IntenseReference">
    <w:name w:val="Intense Reference"/>
    <w:basedOn w:val="DefaultParagraphFont"/>
    <w:uiPriority w:val="32"/>
    <w:qFormat/>
    <w:rsid w:val="00E31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709</Words>
  <Characters>5339</Characters>
  <Application>Microsoft Office Word</Application>
  <DocSecurity>0</DocSecurity>
  <Lines>76</Lines>
  <Paragraphs>30</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2025-08-04T21:38:00Z</dcterms:created>
  <dcterms:modified xsi:type="dcterms:W3CDTF">2025-08-04T21:43:00Z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73fadc86-e247-43cb-adce-29f765ffcdaa</vt:lpwstr>
  </property>
</Properties>
</file>